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9.png" ContentType="image/png"/>
  <Override PartName="/word/media/rId46.png" ContentType="image/png"/>
  <Override PartName="/word/media/rId39.png" ContentType="image/png"/>
  <Override PartName="/word/media/rId32.png" ContentType="image/png"/>
  <Override PartName="/word/media/rId51.png" ContentType="image/png"/>
  <Override PartName="/word/media/rId55.png" ContentType="image/png"/>
  <Override PartName="/word/media/rId60.png" ContentType="image/png"/>
  <Override PartName="/word/media/rId6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t xml:space="preserve">Picocyanobacteria are the most abundant phytoplankters in aquatic ecosystems and are crucial to the optical properties of ocean water, influencing its colour and transparency. The genus</w:t>
      </w:r>
      <w:r>
        <w:t xml:space="preserve"> </w:t>
      </w:r>
      <w:r>
        <w:rPr>
          <w:iCs/>
          <w:i/>
        </w:rPr>
        <w:t xml:space="preserve">Synechococcus</w:t>
      </w:r>
      <w:r>
        <w:t xml:space="preserve"> </w:t>
      </w:r>
      <w:r>
        <w:t xml:space="preserve">occurs in tropical, subtropical, temperate and arctic zones, with long-term scenarios forecasting range expansions of</w:t>
      </w:r>
      <w:r>
        <w:t xml:space="preserve"> </w:t>
      </w:r>
      <w:r>
        <w:rPr>
          <w:iCs/>
          <w:i/>
        </w:rPr>
        <w:t xml:space="preserve">Synechococcus</w:t>
      </w:r>
      <w:r>
        <w:t xml:space="preserve"> </w:t>
      </w:r>
      <w:r>
        <w:t xml:space="preserve">sp.</w:t>
      </w:r>
    </w:p>
    <w:p>
      <w:pPr>
        <w:pStyle w:val="BodyText"/>
      </w:pPr>
      <w:r>
        <w:t xml:space="preserve">Our study demonstrated that cumulative diel Photosynthetically Active Radiation (PAR) and Photosynthetically Usable Radiation (PUR) consistently explain achieved growth rates (µ) of two PhycoCyanin(PC)-rich and two PhycoErythrin(PE)-rich strains of</w:t>
      </w:r>
      <w:r>
        <w:t xml:space="preserve"> </w:t>
      </w:r>
      <w:r>
        <w:rPr>
          <w:iCs/>
          <w:i/>
        </w:rPr>
        <w:t xml:space="preserve">Synechococcus</w:t>
      </w:r>
      <w:r>
        <w:t xml:space="preserve">, across a matrix of 4 photoperiods and 6 peak PAR. Growth responses to cumulative diel PAR and PUR, depending upon photoperiod and peak PAR varied across the strains. All the strains were generally opportunistic in exploiting higher light diel doses to achieve faster µ, although PE-rich strains suffered strong photoinhibition of growth under peak PAR 900 µmol photons m</w:t>
      </w:r>
      <w:r>
        <w:rPr>
          <w:vertAlign w:val="superscript"/>
        </w:rPr>
        <w:t xml:space="preserve">−2</w:t>
      </w:r>
      <w:r>
        <w:t xml:space="preserve">s</w:t>
      </w:r>
      <w:r>
        <w:rPr>
          <w:vertAlign w:val="superscript"/>
        </w:rPr>
        <w:t xml:space="preserve">−1</w:t>
      </w:r>
      <w:r>
        <w:t xml:space="preserve"> </w:t>
      </w:r>
      <w:r>
        <w:t xml:space="preserve">and 24 h photoperiod. The results revealed consistent patterns of light capture efficacy; PUR/PAR ratio and pigment content (Phycobiliprotein to Chl</w:t>
      </w:r>
      <w:r>
        <w:t xml:space="preserve"> </w:t>
      </w:r>
      <w:r>
        <w:rPr>
          <w:iCs/>
          <w:i/>
        </w:rPr>
        <w:t xml:space="preserve">a</w:t>
      </w:r>
      <w:r>
        <w:t xml:space="preserve"> </w:t>
      </w:r>
      <w:r>
        <w:t xml:space="preserve">ratio) across cumulative diel PAR. The PE-rich strains showed a much higher PUR/PAR ratio and Phycobiliprotein/Chl</w:t>
      </w:r>
      <w:r>
        <w:t xml:space="preserve"> </w:t>
      </w:r>
      <w:r>
        <w:rPr>
          <w:iCs/>
          <w:i/>
        </w:rPr>
        <w:t xml:space="preserve">a</w:t>
      </w:r>
      <w:r>
        <w:t xml:space="preserve"> </w:t>
      </w:r>
      <w:r>
        <w:t xml:space="preserve">ratio under low cumulative diel PAR, but decay reached a plateau close to the PC-rich strains as cumulative diel PAR increased. The</w:t>
      </w:r>
      <w:r>
        <w:t xml:space="preserve"> </w:t>
      </w:r>
      <m:oMath>
        <m:r>
          <m:t>σ</m:t>
        </m:r>
      </m:oMath>
      <w:r>
        <w:rPr>
          <w:vertAlign w:val="subscript"/>
        </w:rPr>
        <w:t xml:space="preserve">PSII</w:t>
      </w:r>
      <w:r>
        <w:t xml:space="preserve">’ showed a consistent, sharp exponential decay in relation to cumulative diel PAR, across different combinations of photoperiod and peak PAR. However, the PE-rich strains remained at the higher</w:t>
      </w:r>
      <w:r>
        <w:t xml:space="preserve"> </w:t>
      </w:r>
      <m:oMath>
        <m:r>
          <m:t>σ</m:t>
        </m:r>
      </m:oMath>
      <w:r>
        <w:rPr>
          <w:vertAlign w:val="subscript"/>
        </w:rPr>
        <w:t xml:space="preserve">PSII</w:t>
      </w:r>
      <w:r>
        <w:t xml:space="preserve">’ level under low cumulative diel PAR than the PC-rich strains even as cumulative diel PAR increased. The</w:t>
      </w:r>
      <w:r>
        <w:t xml:space="preserve"> </w:t>
      </w:r>
      <m:oMath>
        <m:r>
          <m:t>σ</m:t>
        </m:r>
      </m:oMath>
      <w:r>
        <w:rPr>
          <w:vertAlign w:val="subscript"/>
        </w:rPr>
        <w:t xml:space="preserve">PSII</w:t>
      </w:r>
      <w:r>
        <w:t xml:space="preserve">’ was related to the phycobilisome:chlorophyll</w:t>
      </w:r>
      <w:r>
        <w:t xml:space="preserve"> </w:t>
      </w:r>
      <w:r>
        <w:rPr>
          <w:iCs/>
          <w:i/>
        </w:rPr>
        <w:t xml:space="preserve">a</w:t>
      </w:r>
      <w:r>
        <w:t xml:space="preserve"> </w:t>
      </w:r>
      <w:r>
        <w:t xml:space="preserve">ratio, where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Under pre-stationary phase</w:t>
      </w:r>
      <w:r>
        <w:t xml:space="preserve"> </w:t>
      </w:r>
      <m:oMath>
        <m:r>
          <m:t>σ</m:t>
        </m:r>
      </m:oMath>
      <w:r>
        <w:rPr>
          <w:vertAlign w:val="subscript"/>
        </w:rPr>
        <w:t xml:space="preserve">PSII</w:t>
      </w:r>
      <w:r>
        <w:t xml:space="preserve">’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 We also found that µ saturated under increasing PSII electron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all strains; however, the achieved estimates of µmax varied depending upon peak diel PAR.</w:t>
      </w:r>
    </w:p>
    <w:p>
      <w:pPr>
        <w:pStyle w:val="BodyText"/>
      </w:pPr>
      <w:r>
        <w:t xml:space="preserve">Our results show the PE-rich strains are stronger light-harvesting competitors however, the PC-rich strains may have lower N-quotients for their light capture system. These differences help explain the differential seasonal prevalence of PE-rich and PC-rich picocyanobacteria in terms of the costs of exploitation of different photic regimes. This work provides an important link in forecasting global changes in the occurrence of PC-rich and PE-rich</w:t>
      </w:r>
      <w:r>
        <w:t xml:space="preserve"> </w:t>
      </w:r>
      <w:r>
        <w:rPr>
          <w:iCs/>
          <w:i/>
        </w:rPr>
        <w:t xml:space="preserve">Synechococcus</w:t>
      </w:r>
      <w:r>
        <w:t xml:space="preserve"> </w:t>
      </w:r>
      <w:r>
        <w:t xml:space="preserve">phenotypes in aquatic ecosystems in the context of future climate change.</w:t>
      </w:r>
    </w:p>
    <w:bookmarkEnd w:id="21"/>
    <w:bookmarkStart w:id="22" w:name="introduction"/>
    <w:p>
      <w:pPr>
        <w:pStyle w:val="Heading1"/>
      </w:pPr>
      <w:r>
        <w:t xml:space="preserve">Introduction</w:t>
      </w:r>
    </w:p>
    <w:p>
      <w:pPr>
        <w:pStyle w:val="FirstParagraph"/>
      </w:pPr>
      <w:r>
        <w:t xml:space="preserve">The photic regime, comprised of Photosynthetically Active Radiation (PAR), photoperiod, and spectral quality, is a pivotal influence on the growth and productivity of phytoplankton within aquatic ecosystems. PAR refers to the spectral range of solar radiation, approximately 400-700 nm, that is capable of driving photosynthesis. Photosynthetically Usable Radiation (PUR), in turn, is the fraction of PAR of wavelengths that can be absorbed by particularly cyanobacteria or algae</w:t>
      </w:r>
      <w:r>
        <w:t xml:space="preserve"> </w:t>
      </w:r>
      <w:r>
        <w:t xml:space="preserve">(Morel 1978)</w:t>
      </w:r>
      <w:r>
        <w:t xml:space="preserve">. The PAR reaching a specific area, directly affects the physiology of cyanobacteria</w:t>
      </w:r>
      <w:r>
        <w:t xml:space="preserve"> </w:t>
      </w:r>
      <w:r>
        <w:t xml:space="preserve">(Śliwińska-Wilczewska et al. 2018, 2020; Aguilera et al. 2023)</w:t>
      </w:r>
      <w:r>
        <w:t xml:space="preserve">. Optimal PAR provide the energy for photosynthesis, and thus supports cyanobacteria growth and biomass production. The availability and distribution of PAR in aquatic ecosystems are influenced by cloud cover, water depth, and light attenuation due to water turbidity and suspended particles, including phytoplankton cells</w:t>
      </w:r>
      <w:r>
        <w:t xml:space="preserve"> </w:t>
      </w:r>
      <w:r>
        <w:t xml:space="preserve">(Kirk 1983; Field et al. 1998; Torremorell et al. 2009)</w:t>
      </w:r>
      <w:r>
        <w:t xml:space="preserve">. Cyanobacteria are also sensitive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There is a clear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or light, or by accumulation of inhibitory factors, algae enter the stationary phase, characterized by a balance between cell division and death, leading to a plateau in population. The death phase occurs when cyanobacteria cell death outruns division, leading to decomposition, contributing to nutrient recycling in aquatic ecosystems</w:t>
      </w:r>
      <w:r>
        <w:t xml:space="preserve"> </w:t>
      </w:r>
      <w:r>
        <w:t xml:space="preserve">(Reynolds 2006)</w:t>
      </w:r>
      <w:r>
        <w:t xml:space="preserve">. Cell death may also release toxins into the environment. Understanding the temporal progression of growth phases is thus essential for predicting cyanobacterial activity in a habitat, and their impact on ecosystem dynamics over time.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w:t>
      </w:r>
      <w:r>
        <w:t xml:space="preserve"> </w:t>
      </w:r>
      <w:r>
        <w:rPr>
          <w:iCs/>
          <w:i/>
        </w:rPr>
        <w:t xml:space="preserve">Synechococcus</w:t>
      </w:r>
      <w:r>
        <w:t xml:space="preserve">, as one of the two dominant picocyanobacterial genera in oceanic waters, also significantly affects light attenuation and availability for other photosynthetic organisms, and influences ocean colour,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where blue light predominates. PE-rich strains exhibit adaptation to lower-light conditions, primarily inhabiting the deeper layers of the water column where green light prevails.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w:t>
      </w:r>
    </w:p>
    <w:p>
      <w:pPr>
        <w:pStyle w:val="BodyText"/>
      </w:pPr>
      <w:r>
        <w:t xml:space="preserve">Photic regimes and growth phases of PC-rich and PE-rich</w:t>
      </w:r>
      <w:r>
        <w:t xml:space="preserve"> </w:t>
      </w:r>
      <w:r>
        <w:rPr>
          <w:iCs/>
          <w:i/>
        </w:rPr>
        <w:t xml:space="preserve">Synechococcus</w:t>
      </w:r>
      <w:r>
        <w:t xml:space="preserve"> </w:t>
      </w:r>
      <w:r>
        <w:t xml:space="preserve">sp. may drive spatial and temporal variability of Synechococcus biomass and community lineage composition within aquatic environments, relating to varying metabolic costs between physiological strategies. Therefore, the aim of this research was to determine whether photic regimes and growth phases affect both growth and light-capture, and to quantify the differences between PC-rich and PE-rich</w:t>
      </w:r>
      <w:r>
        <w:t xml:space="preserve"> </w:t>
      </w:r>
      <w:r>
        <w:rPr>
          <w:iCs/>
          <w:i/>
        </w:rPr>
        <w:t xml:space="preserve">Synechococcus</w:t>
      </w:r>
      <w:r>
        <w:t xml:space="preserve"> </w:t>
      </w:r>
      <w:r>
        <w:t xml:space="preserve">sp.</w:t>
      </w:r>
    </w:p>
    <w:bookmarkEnd w:id="22"/>
    <w:bookmarkStart w:id="45" w:name="material-and-methods"/>
    <w:p>
      <w:pPr>
        <w:pStyle w:val="Heading1"/>
      </w:pPr>
      <w:r>
        <w:t xml:space="preserve">Material and Methods</w:t>
      </w:r>
    </w:p>
    <w:bookmarkStart w:id="24" w:name="culture-condition-and-experimental-setup"/>
    <w:p>
      <w:pPr>
        <w:pStyle w:val="Heading2"/>
      </w:pPr>
      <w:r>
        <w:t xml:space="preserve">Culture condition and experimental setup</w:t>
      </w:r>
    </w:p>
    <w:p>
      <w:pPr>
        <w:pStyle w:val="FirstParagraph"/>
      </w:pPr>
      <w:r>
        <w:t xml:space="preserve">Two non-axenic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kept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and the first photoperiods followed in the morning so that peak PAR occurs around noon each day.</w:t>
      </w:r>
    </w:p>
    <w:p>
      <w:pPr>
        <w:pStyle w:val="BodyText"/>
      </w:pPr>
      <w:r>
        <w:t xml:space="preserve">Cultures grew at 22℃, with photoperiods of 8, 12, 16, or 24 h, with peak PAR of 30, 90, 180, 300, 600, or 900 µµmol photons m</w:t>
      </w:r>
      <w:r>
        <w:rPr>
          <w:vertAlign w:val="superscript"/>
        </w:rPr>
        <w:t xml:space="preserve">−2</w:t>
      </w:r>
      <w:r>
        <w:t xml:space="preserve">s</w:t>
      </w:r>
      <w:r>
        <w:rPr>
          <w:vertAlign w:val="superscript"/>
        </w:rPr>
        <w:t xml:space="preserve">−1</w:t>
      </w:r>
      <w:r>
        <w:t xml:space="preserve"> </w:t>
      </w:r>
      <w:r>
        <w:t xml:space="preserve">supplied from white LED lamps, independently to each culture tube. To approximate diel cycles, the photoperiods of 8 – 16 h were applied in a sinuisoidal shape, while the 24-hour photoperiod was applied continuously in a square shape. The area under the sinuisoidal curve is 1/2 the area under a square of equal width, the 24 h square photoperiod cultures received 4 times the diel photon dose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8-9. Light, temperature, optical density, and aeration gas of the Multi-Cultivator system were monitored and controlled via the Photobioreactor Control Software (Photon Systems Instruments, Drásov, Czech Republic).</w:t>
      </w:r>
    </w:p>
    <w:bookmarkEnd w:id="24"/>
    <w:bookmarkStart w:id="29" w:name="Xa7c4f77afc97420905ec2223a8335255582d9ba"/>
    <w:p>
      <w:pPr>
        <w:pStyle w:val="Heading2"/>
      </w:pPr>
      <w:r>
        <w:t xml:space="preserve">Growth curves and chlorophyll 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S1-S3 in Supplementary materials). The exponential chlorophyll specific exponential growth rates (µ) were determined by fitting logistic growth curves to plots of the chlorophyll</w:t>
      </w:r>
      <w:r>
        <w:t xml:space="preserve"> </w:t>
      </w:r>
      <w:r>
        <w:rPr>
          <w:iCs/>
          <w:i/>
        </w:rPr>
        <w:t xml:space="preserve">a</w:t>
      </w:r>
      <w:r>
        <w:t xml:space="preserve"> </w:t>
      </w:r>
      <w:r>
        <w:t xml:space="preserve">proxy of ΔOD vs. elapsed time for each combination of strain, photoperiod, and peak PAR (Fig. S4 in Supplementary materials).</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w:t>
      </w:r>
      <w:r>
        <w:t xml:space="preserve"> </w:t>
      </w:r>
      <w:r>
        <w:rPr>
          <w:bCs/>
          <w:b/>
        </w:rPr>
        <w:t xml:space="preserve">Example of a growth curve (tracked as OD</w:t>
      </w:r>
      <w:r>
        <w:rPr>
          <w:vertAlign w:val="subscript"/>
          <w:bCs/>
          <w:b/>
        </w:rPr>
        <w:t xml:space="preserve">720</w:t>
      </w:r>
      <w:r>
        <w:rPr>
          <w:bCs/>
          <w:b/>
        </w:rPr>
        <w:t xml:space="preserve">, OD</w:t>
      </w:r>
      <w:r>
        <w:rPr>
          <w:vertAlign w:val="subscript"/>
          <w:bCs/>
          <w:b/>
        </w:rPr>
        <w:t xml:space="preserve">680</w:t>
      </w:r>
      <w:r>
        <w:rPr>
          <w:bCs/>
          <w:b/>
        </w:rPr>
        <w:t xml:space="preserve">, or ΔOD; red solid lines, left y-axis) of PE-rich culture of</w:t>
      </w:r>
      <w:r>
        <w:rPr>
          <w:bCs/>
          <w:b/>
        </w:rPr>
        <w:t xml:space="preserve"> </w:t>
      </w:r>
      <w:r>
        <w:rPr>
          <w:iCs/>
          <w:i/>
          <w:bCs/>
          <w:b/>
        </w:rPr>
        <w:t xml:space="preserve">Synechococcus</w:t>
      </w:r>
      <w:r>
        <w:rPr>
          <w:bCs/>
          <w:b/>
        </w:rPr>
        <w:t xml:space="preserve"> </w:t>
      </w:r>
      <w:r>
        <w:rPr>
          <w:bCs/>
          <w:b/>
        </w:rPr>
        <w:t xml:space="preserve">sp. (048) vs. elapsed time (d, x-axis).</w:t>
      </w:r>
      <w:r>
        <w:t xml:space="preserve"> </w:t>
      </w:r>
      <w:r>
        <w:t xml:space="preserve">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determining-the-number-of-cells"/>
    <w:p>
      <w:pPr>
        <w:pStyle w:val="Heading2"/>
      </w:pPr>
      <w:r>
        <w:t xml:space="preserve">Determining the number of cells</w:t>
      </w:r>
    </w:p>
    <w:p>
      <w:pPr>
        <w:pStyle w:val="FirstParagraph"/>
      </w:pPr>
      <w:r>
        <w:t xml:space="preserve">The number of picocyanobacterial cells (cell mL</w:t>
      </w:r>
      <w:r>
        <w:rPr>
          <w:vertAlign w:val="superscript"/>
        </w:rPr>
        <w:t xml:space="preserve">−1</w:t>
      </w:r>
      <w:r>
        <w:t xml:space="preserve">) was measured using ImageXpress Pico Digital microscopy equipped with CMOS camera and LED+ image autofocus (ImageXpress Pico Automated Cell Imaging System, Molecular Devices, LLC., CA, USA). The samples were preserved with 4% glutaraldehyde and kept in a -80°C until the measurements. Samples (V = 10 µL) were transferred to Tissue Culture (TC)-treated surface, flat bottom black 96-well plates (Corning® Falcon® Microplate, MilliporeSigma, Merck, Darmstadt, Germany) contained 200 µL of f/2 media and centrifuged. Cells were imaged with the Cy5 channels using selectable confocal geometries, which allow to distinguish cyanobacterial cells from heterotrophic bacteria, and counted using a 63x objective in fluorescence imaging modes. Quantitative analysis on images acquired from automated microscopy obtained from 96-well microplates was performed using CellReporterXpress Image Acquisition and Analysis Software. The actual cell number was calculated based on the dilution factor and selected area count in each well.</w:t>
      </w:r>
    </w:p>
    <w:p>
      <w:pPr>
        <w:pStyle w:val="BodyText"/>
      </w:pPr>
      <w:r>
        <w:t xml:space="preserve">We also estimated the number of picocyanobacterial cells over time using linear regression models based on the number of cells (cell mL</w:t>
      </w:r>
      <w:r>
        <w:rPr>
          <w:vertAlign w:val="superscript"/>
        </w:rPr>
        <w:t xml:space="preserve">−1</w:t>
      </w:r>
      <w:r>
        <w:t xml:space="preserve">), counted using ImageXpress Pico Digital microscopy and OD</w:t>
      </w:r>
      <w:r>
        <w:rPr>
          <w:vertAlign w:val="subscript"/>
        </w:rPr>
        <w:t xml:space="preserve">720</w:t>
      </w:r>
      <w:r>
        <w:t xml:space="preserve"> </w:t>
      </w:r>
      <w:r>
        <w:t xml:space="preserve">taken from the Multi-Cultivator system at the same time (Tab. S1, Supplementary materials).</w:t>
      </w:r>
    </w:p>
    <w:bookmarkEnd w:id="30"/>
    <w:bookmarkStart w:id="31" w:name="X95f1fc477a474c22be58e952c41b380dcf00d38"/>
    <w:p>
      <w:pPr>
        <w:pStyle w:val="Heading2"/>
      </w:pPr>
      <w:r>
        <w:t xml:space="preserve">Whole-cell absorbance spectra measurements</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the cell suspension of tested picocyanobacteria. The pathlength corrected absorbance per cm was performed by determining the Javorfi coefficients</w:t>
      </w:r>
      <w:r>
        <w:t xml:space="preserve"> </w:t>
      </w:r>
      <w:r>
        <w:t xml:space="preserve">(Jávorfi et al. 2006)</w:t>
      </w:r>
      <w:r>
        <w:t xml:space="preserve"> </w:t>
      </w:r>
      <w:r>
        <w:t xml:space="preserve">as described in the equipment manual.</w:t>
      </w:r>
    </w:p>
    <w:bookmarkEnd w:id="31"/>
    <w:bookmarkStart w:id="36" w:name="X2f8d8b7b55502179a201bdaa1a569a0e854e106"/>
    <w:p>
      <w:pPr>
        <w:pStyle w:val="Heading2"/>
      </w:pPr>
      <w:r>
        <w:t xml:space="preserve">Estimating 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green area for the PC-rich strain and a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w:t>
      </w:r>
      <w:r>
        <w:t xml:space="preserve"> </w:t>
      </w:r>
      <w:r>
        <w:rPr>
          <w:bCs/>
          <w:b/>
        </w:rPr>
        <w:t xml:space="preserve">Whole-cell absorbance spectra of PC-rich (solid green lines) or PE-rich (dashed red lines) cultures of</w:t>
      </w:r>
      <w:r>
        <w:rPr>
          <w:bCs/>
          <w:b/>
        </w:rPr>
        <w:t xml:space="preserve"> </w:t>
      </w:r>
      <w:r>
        <w:rPr>
          <w:iCs/>
          <w:i/>
          <w:bCs/>
          <w:b/>
        </w:rPr>
        <w:t xml:space="preserve">Synechococcus</w:t>
      </w:r>
      <w:r>
        <w:rPr>
          <w:bCs/>
          <w:b/>
        </w:rPr>
        <w:t xml:space="preserve"> </w:t>
      </w:r>
      <w:r>
        <w:rPr>
          <w:bCs/>
          <w:b/>
        </w:rPr>
        <w:t xml:space="preserve">sp.</w:t>
      </w:r>
      <w:r>
        <w:t xml:space="preserve"> </w:t>
      </w:r>
      <w:r>
        <w:t xml:space="preserve">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green area for the PC-rich strain and a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estimating-cumulative-diel-par-and-pur"/>
    <w:p>
      <w:pPr>
        <w:pStyle w:val="Heading2"/>
      </w:pPr>
      <w:r>
        <w:t xml:space="preserve">Estimating 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p>
      <w:pPr>
        <w:pStyle w:val="FirstParagraph"/>
      </w:pPr>
      <w:r>
        <w:t xml:space="preserve">Similarly, cumulative diel PUR was estimated using the same equations.</w:t>
      </w:r>
    </w:p>
    <w:bookmarkEnd w:id="37"/>
    <w:bookmarkStart w:id="38" w:name="pigment-content-analysis"/>
    <w:p>
      <w:pPr>
        <w:pStyle w:val="Heading2"/>
      </w:pPr>
      <w:r>
        <w:t xml:space="preserve">Pigment content analysis</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concentration of Chl</w:t>
      </w:r>
      <w:r>
        <w:t xml:space="preserve"> </w:t>
      </w:r>
      <w:r>
        <w:rPr>
          <w:iCs/>
          <w:i/>
        </w:rPr>
        <w:t xml:space="preserve">a</w:t>
      </w:r>
      <w:r>
        <w:t xml:space="preserve"> </w:t>
      </w:r>
      <w:r>
        <w:t xml:space="preserve">in a 90% acetone solution (SKU: 10-850). Quantitative analysis of Chl</w:t>
      </w:r>
      <w:r>
        <w:t xml:space="preserve"> </w:t>
      </w:r>
      <w:r>
        <w:rPr>
          <w:iCs/>
          <w:i/>
        </w:rPr>
        <w:t xml:space="preserve">a</w:t>
      </w:r>
      <w:r>
        <w:t xml:space="preserve"> </w:t>
      </w:r>
      <w:r>
        <w:t xml:space="preserve">was obtained after adding 50 µL of culture and 2 mL of a 90% acetone/DMSO solution in a 3/2 ratio.</w:t>
      </w:r>
    </w:p>
    <w:p>
      <w:pPr>
        <w:pStyle w:val="BodyText"/>
      </w:pPr>
      <w:r>
        <w:t xml:space="preserve">We also estimated the pigment content: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S2, Supplementary materials).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66ae0501df054eaf9b54d08ac643e0818599ead"/>
    <w:p>
      <w:pPr>
        <w:pStyle w:val="Heading2"/>
      </w:pPr>
      <w:r>
        <w:t xml:space="preserve">Estimating 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(σPSII or σPSII′; nm2 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w:r>
        <w:rPr>
          <w:iCs/>
          <w:i/>
        </w:rPr>
        <w:t xml:space="preserve">JV</w:t>
      </w:r>
      <w:r>
        <w:rPr>
          <w:vertAlign w:val="subscript"/>
        </w:rPr>
        <w:t xml:space="preserve">PSII</w:t>
      </w:r>
      <w:r>
        <w:t xml:space="preserve"> </w:t>
      </w:r>
      <w:r>
        <w:t xml:space="preserve">=</w:t>
      </w:r>
      <w:r>
        <w:t xml:space="preserve"> </w:t>
      </w:r>
      <m:oMath>
        <m:r>
          <m:t>σ</m:t>
        </m:r>
      </m:oMath>
      <w:r>
        <w:rPr>
          <w:vertAlign w:val="subscript"/>
        </w:rPr>
        <w:t xml:space="preserve">PSII</w:t>
      </w:r>
      <w:r>
        <w:t xml:space="preserve">′ × qP × I ×</w:t>
      </w:r>
      <w:r>
        <w:t xml:space="preserve"> </w:t>
      </w:r>
      <w:r>
        <w:rPr>
          <w:iCs/>
          <w:i/>
        </w:rPr>
        <w:t xml:space="preserve">F</w:t>
      </w:r>
      <w:r>
        <w:rPr>
          <w:vertAlign w:val="subscript"/>
        </w:rPr>
        <w:t xml:space="preserve">O</w:t>
      </w:r>
      <w:r>
        <w:t xml:space="preserve">/</w:t>
      </w:r>
      <m:oMath>
        <m:r>
          <m:t>σ</m:t>
        </m:r>
      </m:oMath>
      <w:r>
        <w:rPr>
          <w:vertAlign w:val="subscript"/>
        </w:rPr>
        <w:t xml:space="preserve">PSII</w:t>
      </w:r>
    </w:p>
    <w:p>
      <w:pPr>
        <w:pStyle w:val="BodyText"/>
      </w:pPr>
      <m:oMathPara>
        <m:oMathParaPr>
          <m:jc m:val="center"/>
        </m:oMathParaPr>
        <m:oMath>
          <m:m>
            <m:mPr>
              <m:baseJc m:val="center"/>
              <m:plcHide m:val="1"/>
              <m:mcs>
                <m:mc>
                  <m:mcPr>
                    <m:mcJc m:val="right"/>
                    <m:count m:val="1"/>
                  </m:mcPr>
                </m:mc>
              </m:mcs>
            </m:mPr>
            <m:mr>
              <m:e>
                <m:r>
                  <m:t>J</m:t>
                </m:r>
                <m:sSub>
                  <m:e>
                    <m:r>
                      <m:t>V</m:t>
                    </m:r>
                  </m:e>
                  <m:sub>
                    <m:d>
                      <m:dPr>
                        <m:begChr m:val="("/>
                        <m:endChr m:val=")"/>
                        <m:sepChr m:val=""/>
                        <m:grow/>
                      </m:dPr>
                      <m:e>
                        <m:r>
                          <m:t>P</m:t>
                        </m:r>
                        <m:r>
                          <m:t>S</m:t>
                        </m:r>
                        <m:r>
                          <m:t>I</m:t>
                        </m:r>
                        <m:r>
                          <m:t>I</m:t>
                        </m:r>
                      </m:e>
                    </m:d>
                  </m:sub>
                </m:sSub>
                <m:r>
                  <m:rPr>
                    <m:sty m:val="p"/>
                  </m:rPr>
                  <m:t>=</m:t>
                </m:r>
                <m:f>
                  <m:fPr>
                    <m:type m:val="bar"/>
                  </m:fPr>
                  <m:num>
                    <m:sSub>
                      <m:e>
                        <m:r>
                          <m:t>σ</m:t>
                        </m:r>
                      </m:e>
                      <m:sub>
                        <m:d>
                          <m:dPr>
                            <m:begChr m:val="("/>
                            <m:endChr m:val=")"/>
                            <m:sepChr m:val=""/>
                            <m:grow/>
                          </m:dPr>
                          <m:e>
                            <m:r>
                              <m:t>P</m:t>
                            </m:r>
                            <m:r>
                              <m:t>S</m:t>
                            </m:r>
                            <m:r>
                              <m:t>I</m:t>
                            </m:r>
                            <m:r>
                              <m:t>I</m:t>
                            </m:r>
                          </m:e>
                        </m:d>
                      </m:sub>
                    </m:sSub>
                    <m:r>
                      <m:rPr>
                        <m:sty m:val="p"/>
                      </m:rPr>
                      <m:t>′</m:t>
                    </m:r>
                    <m:r>
                      <m:rPr>
                        <m:sty m:val="p"/>
                      </m:rPr>
                      <m:t>×</m:t>
                    </m:r>
                    <m:r>
                      <m:t>q</m:t>
                    </m:r>
                    <m:r>
                      <m:t>P</m:t>
                    </m:r>
                    <m:r>
                      <m:rPr>
                        <m:sty m:val="p"/>
                      </m:rPr>
                      <m:t>×</m:t>
                    </m:r>
                    <m:r>
                      <m:t>I</m:t>
                    </m:r>
                    <m:r>
                      <m:rPr>
                        <m:sty m:val="p"/>
                      </m:rPr>
                      <m:t>×</m:t>
                    </m:r>
                    <m:sSub>
                      <m:e>
                        <m:r>
                          <m:t>F</m:t>
                        </m:r>
                      </m:e>
                      <m:sub>
                        <m:r>
                          <m:t>O</m:t>
                        </m:r>
                      </m:sub>
                    </m:sSub>
                  </m:num>
                  <m:den>
                    <m:sSub>
                      <m:e>
                        <m:r>
                          <m:t>σ</m:t>
                        </m:r>
                      </m:e>
                      <m:sub>
                        <m:d>
                          <m:dPr>
                            <m:begChr m:val="("/>
                            <m:endChr m:val=")"/>
                            <m:sepChr m:val=""/>
                            <m:grow/>
                          </m:dPr>
                          <m:e>
                            <m:r>
                              <m:t>P</m:t>
                            </m:r>
                            <m:r>
                              <m:t>S</m:t>
                            </m:r>
                            <m:r>
                              <m:t>I</m:t>
                            </m:r>
                            <m:r>
                              <m:t>I</m:t>
                            </m:r>
                          </m:e>
                        </m:d>
                      </m:sub>
                    </m:sSub>
                  </m:den>
                </m:f>
                <m:r>
                  <m:t>  </m:t>
                </m:r>
                <m:d>
                  <m:dPr>
                    <m:begChr m:val="("/>
                    <m:endChr m:val=")"/>
                    <m:sepChr m:val=""/>
                    <m:grow/>
                  </m:dPr>
                  <m:e>
                    <m:r>
                      <m:t>4</m:t>
                    </m:r>
                  </m:e>
                </m:d>
              </m:e>
            </m:mr>
          </m:m>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below light saturation, captured using a FireSting robust oxygen probe (PyroScience, Germany) inserted in the cuvette for some RLC runs.</w:t>
      </w:r>
    </w:p>
    <w:p>
      <w:pPr>
        <w:pStyle w:val="CaptionedFigure"/>
      </w:pPr>
      <w:r>
        <w:drawing>
          <wp:inline>
            <wp:extent cx="5943600" cy="7641771"/>
            <wp:effectExtent b="0" l="0" r="0" t="0"/>
            <wp:docPr descr="Figure 3: Single turnover (ST) fluorescence induction by Fast Repetition Rate fluorometry (FRRf). Examples of fluorescence yield vs. elapsed time (µs) are shown for PE-rich culture of Synechococcus sp. (048) in the dark (dark-adapted; 0 µmol photons m−2s−1) and under actinic PAR (in this example 80 µmol photons m−2s−1) measured using blue LED (Ex445nm) or orange (Ex590nm) excitation (A). The ST technique delivers a series of flashlets for non-intrusive, repeated monitoring of chlorophyll fluorescence parameters (including F0, F’, Fm, Fm‘, τ1-τ3, τ1’-τ3‘, σPSII, and σPSII’). Bottom panel shows a rapid light curve (RLC), estimated with with a three parameter model (Harrison and Platt 1986), for PSII electron flux (JVPSII; e−L−1s−1) vs. actinic PAR measured under blue LED (Ex445nm) or orange (Ex590nm) excitation (B)."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2" w:name="fig:LIFT"/>
      <w:bookmarkEnd w:id="42"/>
      <w:r>
        <w:t xml:space="preserve">Figure 3:</w:t>
      </w:r>
      <w:r>
        <w:t xml:space="preserve"> </w:t>
      </w:r>
      <w:r>
        <w:rPr>
          <w:bCs/>
          <w:b/>
        </w:rPr>
        <w:t xml:space="preserve">Single turnover (ST) fluorescence induction by Fast Repetition Rate fluorometry (FRRf).</w:t>
      </w:r>
      <w:r>
        <w:t xml:space="preserve"> </w:t>
      </w:r>
      <w:r>
        <w:t xml:space="preserve">Examples of fluorescence yield vs. elapsed time (µs) are shown for PE-rich culture of</w:t>
      </w:r>
      <w:r>
        <w:t xml:space="preserve"> </w:t>
      </w:r>
      <w:r>
        <w:rPr>
          <w:iCs/>
          <w:i/>
        </w:rPr>
        <w:t xml:space="preserve">Synechococcus</w:t>
      </w:r>
      <w:r>
        <w:t xml:space="preserve"> </w:t>
      </w:r>
      <w:r>
        <w:t xml:space="preserve">sp. (048) in the dark (dark-adapted;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measured using blue LED (Ex</w:t>
      </w:r>
      <w:r>
        <w:rPr>
          <w:vertAlign w:val="subscript"/>
        </w:rPr>
        <w:t xml:space="preserve">445nm</w:t>
      </w:r>
      <w:r>
        <w:t xml:space="preserve">) or orange (Ex</w:t>
      </w:r>
      <w:r>
        <w:rPr>
          <w:vertAlign w:val="subscript"/>
        </w:rPr>
        <w:t xml:space="preserve">590nm</w:t>
      </w:r>
      <w:r>
        <w:t xml:space="preserve">) excitation (A). The ST technique delivers a series of flashlets for non-intrusive, repeated monitoring of chlorophyll fluorescence parameters (including</w:t>
      </w:r>
      <w:r>
        <w:t xml:space="preserve"> </w:t>
      </w:r>
      <w:r>
        <w:rPr>
          <w:iCs/>
          <w:i/>
        </w:rPr>
        <w:t xml:space="preserve">F</w:t>
      </w:r>
      <w:r>
        <w:rPr>
          <w:vertAlign w:val="subscript"/>
        </w:rPr>
        <w:t xml:space="preserve">0</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w:t>
      </w:r>
      <w:r>
        <w:t xml:space="preserve">-τ</w:t>
      </w:r>
      <w:r>
        <w:rPr>
          <w:vertAlign w:val="subscript"/>
        </w:rPr>
        <w:t xml:space="preserve">3</w:t>
      </w:r>
      <w:r>
        <w:t xml:space="preserve">‘</w:t>
      </w:r>
      <w:r>
        <w:t xml:space="preserve">, σ</w:t>
      </w:r>
      <w:r>
        <w:rPr>
          <w:vertAlign w:val="subscript"/>
        </w:rPr>
        <w:t xml:space="preserve">PSII</w:t>
      </w:r>
      <w:r>
        <w:t xml:space="preserve">, and σ</w:t>
      </w:r>
      <w:r>
        <w:rPr>
          <w:vertAlign w:val="subscript"/>
        </w:rPr>
        <w:t xml:space="preserve">PSII</w:t>
      </w:r>
      <w:r>
        <w:t xml:space="preserve">’</w:t>
      </w:r>
      <w:r>
        <w:t xml:space="preserve">). Bottom panel shows a rapid light curve (RLC), estimated with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e</w:t>
      </w:r>
      <w:r>
        <w:rPr>
          <w:vertAlign w:val="superscript"/>
        </w:rPr>
        <w:t xml:space="preserve">−</w:t>
      </w:r>
      <w:r>
        <w:t xml:space="preserve">L</w:t>
      </w:r>
      <w:r>
        <w:rPr>
          <w:vertAlign w:val="superscript"/>
        </w:rPr>
        <w:t xml:space="preserve">−1</w:t>
      </w:r>
      <w:r>
        <w:t xml:space="preserve">s</w:t>
      </w:r>
      <w:r>
        <w:rPr>
          <w:vertAlign w:val="superscript"/>
        </w:rPr>
        <w:t xml:space="preserve">−1</w:t>
      </w:r>
      <w:r>
        <w:t xml:space="preserve">) vs. actinic PAR measured under blue LED (Ex</w:t>
      </w:r>
      <w:r>
        <w:rPr>
          <w:vertAlign w:val="subscript"/>
        </w:rPr>
        <w:t xml:space="preserve">445nm</w:t>
      </w:r>
      <w:r>
        <w:t xml:space="preserve">) or orange (Ex</w:t>
      </w:r>
      <w:r>
        <w:rPr>
          <w:vertAlign w:val="subscript"/>
        </w:rPr>
        <w:t xml:space="preserve">590nm</w:t>
      </w:r>
      <w:r>
        <w:t xml:space="preserve">) excitation (B).</w:t>
      </w:r>
    </w:p>
    <w:bookmarkEnd w:id="43"/>
    <w:bookmarkStart w:id="44" w:name="statistical-analysis"/>
    <w:p>
      <w:pPr>
        <w:pStyle w:val="Heading2"/>
      </w:pPr>
      <w:r>
        <w:t xml:space="preserve">Statistical analysis</w:t>
      </w:r>
    </w:p>
    <w:p>
      <w:pPr>
        <w:pStyle w:val="FirstParagraph"/>
      </w:pPr>
      <w:r>
        <w:t xml:space="preserve">All analysis of obtained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packages were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 t-test. The</w:t>
      </w:r>
      <w:r>
        <w:t xml:space="preserve"> </w:t>
      </w:r>
      <w:r>
        <w:rPr>
          <w:iCs/>
          <w:i/>
        </w:rPr>
        <w:t xml:space="preserve">SSasymp()</w:t>
      </w:r>
      <w:r>
        <w:t xml:space="preserve"> </w:t>
      </w:r>
      <w:r>
        <w:t xml:space="preserve">function (Self-Starting Nls Asymptotic Regression Model) was used to perform a single phase exponential decay fit model and to estimate exponential decay parameters (y0, the starting value; yf, the value at infinite times;</w:t>
      </w:r>
      <w:r>
        <w:t xml:space="preserve"> </w:t>
      </w:r>
      <m:oMath>
        <m:r>
          <m:t>λ</m:t>
        </m:r>
      </m:oMath>
      <w:r>
        <w:t xml:space="preserve">, exponential decay constant)</w:t>
      </w:r>
      <w:r>
        <w:t xml:space="preserve"> </w:t>
      </w:r>
      <w:r>
        <w:t xml:space="preserve">(Serway et al. 2004)</w:t>
      </w:r>
      <w:r>
        <w:t xml:space="preserve">. A modified Levenberg-Marquardt fitting algorithm</w:t>
      </w:r>
      <w:r>
        <w:t xml:space="preserve"> </w:t>
      </w:r>
      <w:r>
        <w:t xml:space="preserve">(Elzhov et al. 2023)</w:t>
      </w:r>
      <w:r>
        <w:t xml:space="preserve"> </w:t>
      </w:r>
      <w:r>
        <w:t xml:space="preserve">was used for estimating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each combination of strain, photoperiod, and peak PAR.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 P</w:t>
      </w:r>
      <w:r>
        <w:rPr>
          <w:vertAlign w:val="subscript"/>
        </w:rPr>
        <w:t xml:space="preserve">max</w:t>
      </w:r>
      <w:r>
        <w:t xml:space="preserve">, the maximum rate of growth curve) proposed by Harrison and Platt</w:t>
      </w:r>
      <w:r>
        <w:t xml:space="preserve"> </w:t>
      </w:r>
      <w:r>
        <w:t xml:space="preserve">(Harrison and Platt 1986)</w:t>
      </w:r>
      <w:r>
        <w:t xml:space="preserve">.</w:t>
      </w:r>
    </w:p>
    <w:p>
      <w:pPr>
        <w:pStyle w:val="BodyText"/>
      </w:pPr>
      <w:r>
        <w:t xml:space="preserve">Linear regressions were used to calculate the number of cells (N mL</w:t>
      </w:r>
      <w:r>
        <w:rPr>
          <w:vertAlign w:val="superscript"/>
        </w:rPr>
        <w:t xml:space="preserve">−1</w:t>
      </w:r>
      <w:r>
        <w:t xml:space="preserve">) and pigment content (µg mL</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Linear regression, coefficient of determination (R square), Pearson correlation coefficients (R), and</w:t>
      </w:r>
      <w:r>
        <w:t xml:space="preserve"> </w:t>
      </w:r>
      <w:r>
        <w:rPr>
          <w:iCs/>
          <w:i/>
        </w:rPr>
        <w:t xml:space="preserve">p</w:t>
      </w:r>
      <w:r>
        <w:t xml:space="preserve">-value were presented in Table S1-S2 (in Supplemental material).</w:t>
      </w:r>
    </w:p>
    <w:p>
      <w:pPr>
        <w:pStyle w:val="BodyText"/>
      </w:pPr>
      <w:r>
        <w:t xml:space="preserve">We performed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and cumulative diel PAR (Table S3, Sxxx), PUR/PAR ratio vs. cumulative diel PAR (Table S6), Phycobiliprotein to Chl</w:t>
      </w:r>
      <w:r>
        <w:t xml:space="preserve"> </w:t>
      </w:r>
      <w:r>
        <w:rPr>
          <w:iCs/>
          <w:i/>
        </w:rPr>
        <w:t xml:space="preserve">a</w:t>
      </w:r>
      <w:r>
        <w:t xml:space="preserve"> </w:t>
      </w:r>
      <w:r>
        <w:t xml:space="preserve">ratio vs. cumulative diel PAR (Table S8),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or under Ex</w:t>
      </w:r>
      <w:r>
        <w:rPr>
          <w:vertAlign w:val="subscript"/>
        </w:rPr>
        <w:t xml:space="preserve">590nm</w:t>
      </w:r>
      <w:r>
        <w:t xml:space="preserve"> </w:t>
      </w:r>
      <w:r>
        <w:t xml:space="preserve">(orange) excitation in relation to the cumulative diel PAR or in relation to the Phycobiliprotein to Chl</w:t>
      </w:r>
      <w:r>
        <w:t xml:space="preserve"> </w:t>
      </w:r>
      <w:r>
        <w:rPr>
          <w:iCs/>
          <w:i/>
        </w:rPr>
        <w:t xml:space="preserve">a</w:t>
      </w:r>
      <w:r>
        <w:t xml:space="preserve"> </w:t>
      </w:r>
      <w:r>
        <w:t xml:space="preserve">ratio (Table S10, S12, S14, S16 in Supplemental material). We also run three-way factorial ANOVA of chlorophyll specific exponential growth rate,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(Table Sxxx).</w:t>
      </w:r>
    </w:p>
    <w:p>
      <w:pPr>
        <w:pStyle w:val="BodyText"/>
      </w:pPr>
      <w:r>
        <w:t xml:space="preserve">To examine statistical differences between models, we performed one-way ANOVA of a three parameter model</w:t>
      </w:r>
      <w:r>
        <w:t xml:space="preserve"> </w:t>
      </w:r>
      <w:r>
        <w:t xml:space="preserve">(Harrison and Platt 1986)</w:t>
      </w:r>
      <w:r>
        <w:t xml:space="preserve"> </w:t>
      </w:r>
      <w:r>
        <w:t xml:space="preserve">from pooled data and data fit across different photoperiods (8, 12, 16, or 24) or data fit across different peak PAR (30, 90, 180, 300, 600 together with 900) from chlorophyll specific exponential growth rate vs. cumulative diel PAR and PUR or vs. PSII electron flux (JV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(Table S4-S5 in Supplemental material). One-way ANOVA was also used to examine statistical differences between single phase exponential decay fit model of pooled data across different strains for a given phase of growth and across different phase of growth for a given strain from PUR/PAR ratio (Table Sxxx), Phycobiliprotein to Chl</w:t>
      </w:r>
      <w:r>
        <w:t xml:space="preserve"> </w:t>
      </w:r>
      <w:r>
        <w:rPr>
          <w:iCs/>
          <w:i/>
        </w:rPr>
        <w:t xml:space="preserve">a</w:t>
      </w:r>
      <w:r>
        <w:t xml:space="preserve"> </w:t>
      </w:r>
      <w:r>
        <w:t xml:space="preserve">ratio (Table Sxxx), and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S7, S9, S13 in Supplemental material).</w:t>
      </w:r>
    </w:p>
    <w:p>
      <w:pPr>
        <w:pStyle w:val="BodyText"/>
      </w:pPr>
      <w:r>
        <w:t xml:space="preserve">T-test of linear fit model of pooled data across different strains for a given phase of growth and across different phase of growth for a given strain from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in relation to the cumulative diel PAR (µmol photons m</w:t>
      </w:r>
      <w:r>
        <w:rPr>
          <w:vertAlign w:val="superscript"/>
        </w:rPr>
        <w:t xml:space="preserve">−2</w:t>
      </w:r>
      <w:r>
        <w:t xml:space="preserve">d</w:t>
      </w:r>
      <w:r>
        <w:rPr>
          <w:vertAlign w:val="superscript"/>
        </w:rPr>
        <w:t xml:space="preserve">−1</w:t>
      </w:r>
      <w:r>
        <w:t xml:space="preserve">) or in relation to the Phycobiliprotein to Chl</w:t>
      </w:r>
      <w:r>
        <w:t xml:space="preserve"> </w:t>
      </w:r>
      <w:r>
        <w:rPr>
          <w:iCs/>
          <w:i/>
        </w:rPr>
        <w:t xml:space="preserve">a</w:t>
      </w:r>
      <w:r>
        <w:t xml:space="preserve"> </w:t>
      </w:r>
      <w:r>
        <w:t xml:space="preserve">ratio, as well as from effective absorption cross section of PSII (</w:t>
      </w:r>
      <m:oMath>
        <m:r>
          <m:t>σ</m:t>
        </m:r>
      </m:oMath>
      <w:r>
        <w:rPr>
          <w:vertAlign w:val="subscript"/>
        </w:rPr>
        <w:t xml:space="preserve">PSII</w:t>
      </w:r>
      <w:r>
        <w:t xml:space="preserve">ʹ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in relation to the Phycobiliprotein to Chl</w:t>
      </w:r>
      <w:r>
        <w:t xml:space="preserve"> </w:t>
      </w:r>
      <w:r>
        <w:rPr>
          <w:iCs/>
          <w:i/>
        </w:rPr>
        <w:t xml:space="preserve">a</w:t>
      </w:r>
      <w:r>
        <w:t xml:space="preserve"> </w:t>
      </w:r>
      <w:r>
        <w:t xml:space="preserve">ratio was performed (Table S11, S15, S17 in Supplemental material).</w:t>
      </w:r>
    </w:p>
    <w:p>
      <w:pPr>
        <w:pStyle w:val="BodyText"/>
      </w:pPr>
      <w:r>
        <w:t xml:space="preserve">Statistical differences for all analyzes were determined at the level of significance</w:t>
      </w:r>
      <w:r>
        <w:t xml:space="preserve"> </w:t>
      </w:r>
      <m:oMath>
        <m:r>
          <m:t>α</m:t>
        </m:r>
      </m:oMath>
      <w:r>
        <w:t xml:space="preserve"> </w:t>
      </w:r>
      <w:r>
        <w:t xml:space="preserve">= 0.05. Manuscript was prepared as a Rmarkdown document</w:t>
      </w:r>
      <w:r>
        <w:t xml:space="preserve"> </w:t>
      </w:r>
      <w:r>
        <w:t xml:space="preserve">(Handel 2020)</w:t>
      </w:r>
      <w:r>
        <w:t xml:space="preserve">. Figures were plotted using</w:t>
      </w:r>
      <w:r>
        <w:t xml:space="preserve"> </w:t>
      </w:r>
      <w:r>
        <w:t xml:space="preserve">“</w:t>
      </w:r>
      <w:r>
        <w:t xml:space="preserve">ggplot</w:t>
      </w:r>
      <w:r>
        <w:t xml:space="preserve">”</w:t>
      </w:r>
      <w:r>
        <w:t xml:space="preserve"> </w:t>
      </w:r>
      <w:r>
        <w:t xml:space="preserve">(Wickham 2016)</w:t>
      </w:r>
      <w:r>
        <w:t xml:space="preserve"> </w:t>
      </w:r>
      <w:r>
        <w:t xml:space="preserve">R package.</w:t>
      </w:r>
    </w:p>
    <w:bookmarkEnd w:id="44"/>
    <w:bookmarkEnd w:id="45"/>
    <w:bookmarkStart w:id="74" w:name="results"/>
    <w:p>
      <w:pPr>
        <w:pStyle w:val="Heading1"/>
      </w:pPr>
      <w:r>
        <w:t xml:space="preserve">Results</w:t>
      </w:r>
    </w:p>
    <w:bookmarkStart w:id="50" w:name="X3c4de26526443418ca9ef70653fbb6a4bace88d"/>
    <w:p>
      <w:pPr>
        <w:pStyle w:val="Heading2"/>
      </w:pPr>
      <w:r>
        <w:t xml:space="preserve">Changes in chlorophyll specific exponential growth rate</w:t>
      </w:r>
    </w:p>
    <w:p>
      <w:pPr>
        <w:pStyle w:val="FirstParagraph"/>
      </w:pPr>
      <w:r>
        <w:t xml:space="preserve">We used logistic curve fits to determine chlorophyll-specific exponential growth rates (μ; d</w:t>
      </w:r>
      <w:r>
        <w:rPr>
          <w:vertAlign w:val="superscript"/>
        </w:rPr>
        <w:t xml:space="preserve">−1</w:t>
      </w:r>
      <w:r>
        <w:t xml:space="preserve">) vs. cumulative diel photon dose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4</w:t>
      </w:r>
      <w:r>
        <w:t xml:space="preserve">).</w:t>
      </w:r>
    </w:p>
    <w:p>
      <w:pPr>
        <w:pStyle w:val="BodyText"/>
      </w:pPr>
      <w:r>
        <w:t xml:space="preserve">Three-way factorial ANOVA showed that peak PAR, photoperiod, and strain, and their interactions, significantly affected μ (ANOVA,</w:t>
      </w:r>
      <w:r>
        <w:t xml:space="preserve"> </w:t>
      </w:r>
      <w:r>
        <w:rPr>
          <w:iCs/>
          <w:i/>
        </w:rPr>
        <w:t xml:space="preserve">p</w:t>
      </w:r>
      <w:r>
        <w:t xml:space="preserve"> </w:t>
      </w:r>
      <w:r>
        <w:t xml:space="preserve">&lt; 0.05 for all; Table S3).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A three parameter model fit of</w:t>
      </w:r>
      <w:r>
        <w:t xml:space="preserve"> </w:t>
      </w:r>
      <w:r>
        <w:t xml:space="preserve">(Harrison and Platt 1986)</w:t>
      </w:r>
      <w:r>
        <w:t xml:space="preserve"> </w:t>
      </w:r>
      <w:r>
        <w:t xml:space="preserve">vs. cumulative diel photon dose for two PC-rich and two PE-rich cultures of</w:t>
      </w:r>
      <w:r>
        <w:t xml:space="preserve"> </w:t>
      </w:r>
      <w:r>
        <w:rPr>
          <w:iCs/>
          <w:i/>
        </w:rPr>
        <w:t xml:space="preserve">Synechococcus</w:t>
      </w:r>
      <w:r>
        <w:t xml:space="preserve"> </w:t>
      </w:r>
      <w:r>
        <w:t xml:space="preserve">sp. showed significant differences between model fits of the pooled data, vs. models fit for different photoperiods (8, 12, 16, or 24 h; ANOVA,</w:t>
      </w:r>
      <w:r>
        <w:t xml:space="preserve"> </w:t>
      </w:r>
      <w:r>
        <w:rPr>
          <w:iCs/>
          <w:i/>
        </w:rPr>
        <w:t xml:space="preserve">p</w:t>
      </w:r>
      <w:r>
        <w:t xml:space="preserve"> </w:t>
      </w:r>
      <w:r>
        <w:t xml:space="preserve">&lt; 0.05, Table S4 in Supplemental material).</w:t>
      </w:r>
    </w:p>
    <w:p>
      <w:pPr>
        <w:pStyle w:val="BodyText"/>
      </w:pPr>
      <w:r>
        <w:t xml:space="preserve">Strains also showed distinct growth responses to cumulative diel photon dose, depending upon peak PAR. In supplemental data (Fig. S5), strains generally showed peak-PAR specific responses to cumulative diel photon dose,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p>
      <w:pPr>
        <w:pStyle w:val="CaptionedFigure"/>
      </w:pPr>
      <w:r>
        <w:drawing>
          <wp:inline>
            <wp:extent cx="5943600" cy="7641771"/>
            <wp:effectExtent b="0" l="0" r="0" t="0"/>
            <wp:docPr descr="Figure 4: Chlorophyll specific exponential growth rates (d−1) vs. cumulative diel Photosynthetically Usable Radiation (PUR, µmol photons m−2d−1). Growth rates (+/- SE falling within symbols) were estimated from logistic fits of chlorophyll proxy OD680 - OD720 vs. elapsed time (Fig. 1, S4),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title="" id="47" name="Picture"/>
            <a:graphic>
              <a:graphicData uri="http://schemas.openxmlformats.org/drawingml/2006/picture">
                <pic:pic>
                  <pic:nvPicPr>
                    <pic:cNvPr descr="../Output/Figures/Fig_GrowthRate_Photoperiod_PUR.png" id="48" name="Picture"/>
                    <pic:cNvPicPr>
                      <a:picLocks noChangeArrowheads="1" noChangeAspect="1"/>
                    </pic:cNvPicPr>
                  </pic:nvPicPr>
                  <pic:blipFill>
                    <a:blip r:embed="rId4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49" w:name="fig:GrowthRatePhotoperiodPUR"/>
      <w:bookmarkEnd w:id="49"/>
      <w:r>
        <w:t xml:space="preserve">Figure 4:</w:t>
      </w:r>
      <w:r>
        <w:t xml:space="preserve"> </w:t>
      </w:r>
      <w:r>
        <w:rPr>
          <w:bCs/>
          <w:b/>
        </w:rPr>
        <w:t xml:space="preserve">Chlorophyll specific exponential growth rates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1, S4),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w:t>
      </w:r>
    </w:p>
    <w:bookmarkEnd w:id="50"/>
    <w:bookmarkStart w:id="59" w:name="X4ef586583a04648116dc5cdbee1ab45f97c81e0"/>
    <w:p>
      <w:pPr>
        <w:pStyle w:val="Heading2"/>
      </w:pPr>
      <w:r>
        <w:t xml:space="preserve">Decreasing PUR/PAR ratio and Phycobiliprotein to Chl</w:t>
      </w:r>
      <w:r>
        <w:t xml:space="preserve"> </w:t>
      </w:r>
      <w:r>
        <w:rPr>
          <w:iCs/>
          <w:i/>
        </w:rPr>
        <w:t xml:space="preserve">a</w:t>
      </w:r>
      <w:r>
        <w:t xml:space="preserve"> </w:t>
      </w:r>
      <w:r>
        <w:t xml:space="preserve">ratio with increasing cumulative diel PAR</w:t>
      </w:r>
    </w:p>
    <w:p>
      <w:pPr>
        <w:pStyle w:val="FirstParagraph"/>
      </w:pPr>
      <w:r>
        <w:t xml:space="preserve">The PUR/PAR ratio is an index of the efficacy of light capture for a culture under a given growth condition; showing the fraction of PAR captured by the absorbance of the cells. For the two PC-rich and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Table S7), except the model fits from PE-rich_048 and PE-rich_127 (ANOVA,</w:t>
      </w:r>
      <w:r>
        <w:t xml:space="preserve"> </w:t>
      </w:r>
      <w:r>
        <w:rPr>
          <w:iCs/>
          <w:i/>
        </w:rPr>
        <w:t xml:space="preserve">p</w:t>
      </w:r>
      <w:r>
        <w:t xml:space="preserve"> </w:t>
      </w:r>
      <w:r>
        <w:t xml:space="preserve">&gt; 0.05). Moreover, the PUR/PAR ratio was significantly higher in the PE-rich strains under low cumulative diel photon dose during their exponential phase of growth, but decayed towards a plateau close to the PC-rich strains as cumulative diel photon dose increases.</w:t>
      </w:r>
    </w:p>
    <w:p>
      <w:pPr>
        <w:pStyle w:val="BodyText"/>
      </w:pPr>
      <w:r>
        <w:t xml:space="preserve">During pre-stationary phase this response of PUR/PAR to increasing cumulative diel PAR dampens(ANOVA, p &gt; 0.05, Table S7). Model fits from different phases of growth differed within a given strain, with the exception of PC-rich_056 (ANOVA; p &lt; 0.05, Table S7).</w:t>
      </w:r>
    </w:p>
    <w:p>
      <w:pPr>
        <w:pStyle w:val="BodyText"/>
      </w:pPr>
      <w:r>
        <w:t xml:space="preserve">Changes of PUR/PAR ratio vs. cumulative diel PAR (µmol photons m</w:t>
      </w:r>
      <w:r>
        <w:rPr>
          <w:vertAlign w:val="superscript"/>
        </w:rPr>
        <w:t xml:space="preserve">−2</w:t>
      </w:r>
      <w:r>
        <w:t xml:space="preserve">d</w:t>
      </w:r>
      <w:r>
        <w:rPr>
          <w:vertAlign w:val="superscript"/>
        </w:rPr>
        <w:t xml:space="preserve">−1</w:t>
      </w:r>
      <w:r>
        <w:t xml:space="preserve">) for two PC-rich cultures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estimated (Fig.</w:t>
      </w:r>
      <w:r>
        <w:t xml:space="preserve"> </w:t>
      </w:r>
      <w:r>
        <w:t xml:space="preserve">5</w:t>
      </w:r>
      <w:r>
        <w:t xml:space="preserve">). Three-way factorial ANOVA showed that individual factor (cumulative diel PAR, phase of growth, or strain) but not the interactions of these 3 factors, affected the PUR/PAR ratio (ANOVA,</w:t>
      </w:r>
      <w:r>
        <w:t xml:space="preserve"> </w:t>
      </w:r>
      <w:r>
        <w:rPr>
          <w:iCs/>
          <w:i/>
        </w:rPr>
        <w:t xml:space="preserve">p</w:t>
      </w:r>
      <w:r>
        <w:t xml:space="preserve"> </w:t>
      </w:r>
      <w:r>
        <w:t xml:space="preserve">&lt; 0.05, Table S6).</w:t>
      </w:r>
    </w:p>
    <w:p>
      <w:pPr>
        <w:pStyle w:val="BodyText"/>
      </w:pPr>
      <w:r>
        <w:t xml:space="preserve">Strains also showed consistent patterns of light capture efficacy (PUR/PAR ratio) across cumulative diel PAR. The ratio of PUR/PAR decayed exponentially in relation to cumulative diel PAR, across different combinations of photoperiod and peak PAR. Although all strains followed a similar trend, the single phase exponential decay fit models varied significantly among strains during their exponential phase of growth (ANOVA,</w:t>
      </w:r>
      <w:r>
        <w:t xml:space="preserve"> </w:t>
      </w:r>
      <w:r>
        <w:rPr>
          <w:iCs/>
          <w:i/>
        </w:rPr>
        <w:t xml:space="preserve">p</w:t>
      </w:r>
      <w:r>
        <w:t xml:space="preserve"> </w:t>
      </w:r>
      <w:r>
        <w:t xml:space="preserve">&lt; 0.05, Table S7). The exception was the fit of the models PE-rich_048 and PE-rich_127 (ANOVA,</w:t>
      </w:r>
      <w:r>
        <w:t xml:space="preserve"> </w:t>
      </w:r>
      <w:r>
        <w:rPr>
          <w:iCs/>
          <w:i/>
        </w:rPr>
        <w:t xml:space="preserve">p</w:t>
      </w:r>
      <w:r>
        <w:t xml:space="preserve"> </w:t>
      </w:r>
      <w:r>
        <w:t xml:space="preserve">&gt; 0.05). During pre-stationary phase this response dampens and even disappears (ANOVA,</w:t>
      </w:r>
      <w:r>
        <w:t xml:space="preserve"> </w:t>
      </w:r>
      <w:r>
        <w:rPr>
          <w:iCs/>
          <w:i/>
        </w:rPr>
        <w:t xml:space="preserve">p</w:t>
      </w:r>
      <w:r>
        <w:t xml:space="preserve"> </w:t>
      </w:r>
      <w:r>
        <w:t xml:space="preserve">&gt; 0.05, Table S7). Significant differences between the fit models for different phases of growth within all given strains with the exception of PC-rich_056 were also noted (ANOVA;</w:t>
      </w:r>
      <w:r>
        <w:t xml:space="preserve"> </w:t>
      </w:r>
      <w:r>
        <w:rPr>
          <w:iCs/>
          <w:i/>
        </w:rPr>
        <w:t xml:space="preserve">p</w:t>
      </w:r>
      <w:r>
        <w:t xml:space="preserve"> </w:t>
      </w:r>
      <w:r>
        <w:t xml:space="preserve">&lt; 0.05, Table S7). Moreover, the PUR/PAR ratio was significantly higher in the PE-rich strains under low cumulative diel PAR during their exponential phase of growth; however, decay towards a plateau close to the PC-rich strains as cumulative diel PAR increases.</w:t>
      </w:r>
    </w:p>
    <w:p>
      <w:pPr>
        <w:pStyle w:val="CaptionedFigure"/>
      </w:pPr>
      <w:r>
        <w:drawing>
          <wp:inline>
            <wp:extent cx="5943600" cy="7641771"/>
            <wp:effectExtent b="0" l="0" r="0" t="0"/>
            <wp:docPr descr="Figure 5: Changes of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2" name="Picture"/>
            <a:graphic>
              <a:graphicData uri="http://schemas.openxmlformats.org/drawingml/2006/picture">
                <pic:pic>
                  <pic:nvPicPr>
                    <pic:cNvPr descr="../Output/Figures/Fig_PURPARRatio.png" id="53" name="Picture"/>
                    <pic:cNvPicPr>
                      <a:picLocks noChangeArrowheads="1" noChangeAspect="1"/>
                    </pic:cNvPicPr>
                  </pic:nvPicPr>
                  <pic:blipFill>
                    <a:blip r:embed="rId5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4" w:name="fig:PURPARRatio"/>
      <w:bookmarkEnd w:id="54"/>
      <w:r>
        <w:t xml:space="preserve">Figure 5:</w:t>
      </w:r>
      <w:r>
        <w:t xml:space="preserve"> </w:t>
      </w:r>
      <w:r>
        <w:rPr>
          <w:bCs/>
          <w:b/>
        </w:rPr>
        <w:t xml:space="preserve">Changes of PUR/PAR 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CaptionedFigure"/>
      </w:pPr>
      <w:r>
        <w:drawing>
          <wp:inline>
            <wp:extent cx="5943600" cy="7641771"/>
            <wp:effectExtent b="0" l="0" r="0" t="0"/>
            <wp:docPr descr="Figure 6: Changes of total Phyco/Chl a ratio vs. cumulative diel PAR (µmol photons m−2d−1). Total Phyco/Chl a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56" name="Picture"/>
            <a:graphic>
              <a:graphicData uri="http://schemas.openxmlformats.org/drawingml/2006/picture">
                <pic:pic>
                  <pic:nvPicPr>
                    <pic:cNvPr descr="../Output/Figures/Fig_PhycoChlaRatio.png" id="57"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58" w:name="fig:PhycoChlaRatio"/>
      <w:bookmarkEnd w:id="58"/>
      <w:r>
        <w:t xml:space="preserve">Figure 6:</w:t>
      </w:r>
      <w:r>
        <w:t xml:space="preserve"> </w:t>
      </w:r>
      <w:r>
        <w:rPr>
          <w:bCs/>
          <w:b/>
        </w:rPr>
        <w:t xml:space="preserve">Changes of total Phyco/Chl</w:t>
      </w:r>
      <w:r>
        <w:rPr>
          <w:bCs/>
          <w:b/>
        </w:rPr>
        <w:t xml:space="preserve"> </w:t>
      </w:r>
      <w:r>
        <w:rPr>
          <w:iCs/>
          <w:i/>
          <w:bCs/>
          <w:b/>
        </w:rPr>
        <w:t xml:space="preserve">a</w:t>
      </w:r>
      <w:r>
        <w:rPr>
          <w:bCs/>
          <w:b/>
        </w:rPr>
        <w:t xml:space="preserve"> </w:t>
      </w:r>
      <w:r>
        <w:rPr>
          <w:bCs/>
          <w:b/>
        </w:rPr>
        <w:t xml:space="preserve">ratio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Total Phyco/Chl</w:t>
      </w:r>
      <w:r>
        <w:t xml:space="preserve"> </w:t>
      </w:r>
      <w:r>
        <w:rPr>
          <w:iCs/>
          <w:i/>
        </w:rPr>
        <w:t xml:space="preserve">a</w:t>
      </w:r>
      <w:r>
        <w:t xml:space="preserve"> </w:t>
      </w:r>
      <w:r>
        <w:t xml:space="preserve">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fit parameters are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59"/>
    <w:bookmarkStart w:id="68" w:name="Xb555db924db9fdd975ae8b445b7267d35d0552f"/>
    <w:p>
      <w:pPr>
        <w:pStyle w:val="Heading2"/>
      </w:pPr>
      <w:r>
        <w:t xml:space="preserve">Decreasing effective absorption cross section of PSII with increasing cumulative diel PAR</w:t>
      </w:r>
    </w:p>
    <w:p>
      <w:pPr>
        <w:pStyle w:val="FirstParagraph"/>
      </w:pPr>
      <w:r>
        <w:t xml:space="preserve">In this work, we estimated the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w:t>
      </w:r>
      <w:r>
        <w:t xml:space="preserve"> </w:t>
      </w:r>
      <w:r>
        <w:t xml:space="preserve">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7</w:t>
      </w:r>
      <w:r>
        <w:t xml:space="preserve">). The</w:t>
      </w:r>
      <w:r>
        <w:t xml:space="preserve"> </w:t>
      </w:r>
      <m:oMath>
        <m:r>
          <m:t>σ</m:t>
        </m:r>
      </m:oMath>
      <w:r>
        <w:rPr>
          <w:vertAlign w:val="subscript"/>
        </w:rPr>
        <w:t xml:space="preserve">PSII</w:t>
      </w:r>
      <w:r>
        <w:t xml:space="preserve">’ measured under diel peak PAR growth light under Ex</w:t>
      </w:r>
      <w:r>
        <w:rPr>
          <w:vertAlign w:val="subscript"/>
        </w:rPr>
        <w:t xml:space="preserve">445nm</w:t>
      </w:r>
      <w:r>
        <w:t xml:space="preserve"> </w:t>
      </w:r>
      <w:r>
        <w:t xml:space="preserve">(blue) excitation vs. cumulative diel PAR was shown in Supplementary material (Fig. S10, Table S10-S11).</w:t>
      </w:r>
    </w:p>
    <w:p>
      <w:pPr>
        <w:pStyle w:val="BodyText"/>
      </w:pPr>
      <w:r>
        <w:t xml:space="preserve">Similarly to the PUR/PAR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(ANOVA,</w:t>
      </w:r>
      <w:r>
        <w:t xml:space="preserve"> </w:t>
      </w:r>
      <w:r>
        <w:rPr>
          <w:iCs/>
          <w:i/>
        </w:rPr>
        <w:t xml:space="preserve">p</w:t>
      </w:r>
      <w:r>
        <w:t xml:space="preserve"> </w:t>
      </w:r>
      <w:r>
        <w:t xml:space="preserve">&lt; 0.05; Table S12 in Supplemental material).</w:t>
      </w:r>
    </w:p>
    <w:p>
      <w:pPr>
        <w:pStyle w:val="BodyText"/>
      </w:pPr>
      <w:r>
        <w:t xml:space="preserve">All strains showed consistent patterns of effective absorption cross section for PSII photochemistry across cumulative diel PAR. The</w:t>
      </w:r>
      <w:r>
        <w:t xml:space="preserve"> </w:t>
      </w:r>
      <m:oMath>
        <m:r>
          <m:t>σ</m:t>
        </m:r>
      </m:oMath>
      <w:r>
        <w:rPr>
          <w:vertAlign w:val="subscript"/>
        </w:rPr>
        <w:t xml:space="preserve">PSII</w:t>
      </w:r>
      <w:r>
        <w:t xml:space="preserve">’ examined a consistent, sharp exponential decay in relation to cumulative diel PAR, across different combinations of photoperiod and peak PAR. Although all strains showed this response pattern, the exponential decay fit models differ significantly among two PC-rich strains and PE-rich_048 during their exponential phase of growth (ANOVA,</w:t>
      </w:r>
      <w:r>
        <w:t xml:space="preserve"> </w:t>
      </w:r>
      <w:r>
        <w:rPr>
          <w:iCs/>
          <w:i/>
        </w:rPr>
        <w:t xml:space="preserve">p</w:t>
      </w:r>
      <w:r>
        <w:t xml:space="preserve"> </w:t>
      </w:r>
      <w:r>
        <w:t xml:space="preserve">&lt; 0.05; Table S13 in Supplemental material). During pre-stationary phase this response dampens but persists. Additionally, the significant differences between the fit models for different phases of growth within all given strains, with the exception of PE-rich_048, were also presented (ANOVA;</w:t>
      </w:r>
      <w:r>
        <w:t xml:space="preserve"> </w:t>
      </w:r>
      <w:r>
        <w:rPr>
          <w:iCs/>
          <w:i/>
        </w:rPr>
        <w:t xml:space="preserve">p</w:t>
      </w:r>
      <w:r>
        <w:t xml:space="preserve"> </w:t>
      </w:r>
      <w:r>
        <w:t xml:space="preserve">&lt; 0.05, Table S13).</w:t>
      </w:r>
    </w:p>
    <w:p>
      <w:pPr>
        <w:pStyle w:val="BodyText"/>
      </w:pPr>
      <w:r>
        <w:t xml:space="preserve">The PE-rich strains showed higher</w:t>
      </w:r>
      <w:r>
        <w:t xml:space="preserve"> </w:t>
      </w:r>
      <m:oMath>
        <m:r>
          <m:t>σ</m:t>
        </m:r>
      </m:oMath>
      <w:r>
        <w:rPr>
          <w:vertAlign w:val="subscript"/>
        </w:rPr>
        <w:t xml:space="preserve">PSII</w:t>
      </w:r>
      <w:r>
        <w:t xml:space="preserve">’ under low cumulative diel PAR, and remain higher than the PC-rich strains even as cumulative diel PAR increases.</w:t>
      </w:r>
    </w:p>
    <w:p>
      <w:pPr>
        <w:pStyle w:val="CaptionedFigure"/>
      </w:pPr>
      <w:r>
        <w:drawing>
          <wp:inline>
            <wp:extent cx="5943600" cy="7641771"/>
            <wp:effectExtent b="0" l="0" r="0" t="0"/>
            <wp:docPr descr="Figure 7: Effective absorption cross section of PSII (σPSII‘; nm2 quanta−1) measured under diel peak PAR growth light vs. cumulative diel PAR (µmol photons m−2d−1). Effective absorption cross section of PSII (σPSII’;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Sigma590.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Sigma590"/>
      <w:bookmarkEnd w:id="63"/>
      <w:r>
        <w:t xml:space="preserve">Figure 7:</w:t>
      </w:r>
      <w:r>
        <w:t xml:space="preserve"> </w:t>
      </w:r>
      <w:r>
        <w:rPr>
          <w:bCs/>
          <w:b/>
        </w:rPr>
        <w:t xml:space="preserve">Effective absorption cross section of PSII</w:t>
      </w:r>
      <w:r>
        <w:t xml:space="preserve"> </w:t>
      </w:r>
      <w:r>
        <w:t xml:space="preserve">(σ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vs. cumulative diel PAR (µmol photons m</w:t>
      </w:r>
      <w:r>
        <w:rPr>
          <w:vertAlign w:val="superscript"/>
          <w:bCs/>
          <w:b/>
        </w:rPr>
        <w:t xml:space="preserve">−2</w:t>
      </w:r>
      <w:r>
        <w:rPr>
          <w:bCs/>
          <w:b/>
        </w:rPr>
        <w:t xml:space="preserve">d</w:t>
      </w:r>
      <w:r>
        <w:rPr>
          <w:vertAlign w:val="superscript"/>
          <w:bCs/>
          <w:b/>
        </w:rPr>
        <w:t xml:space="preserve">−1</w:t>
      </w:r>
      <w:r>
        <w:rPr>
          <w:bCs/>
          <w:b/>
        </w:rPr>
        <w:t xml:space="preserve">).</w:t>
      </w:r>
      <w:r>
        <w:t xml:space="preserve"> </w:t>
      </w:r>
      <w:r>
        <w:t xml:space="preserve">Effective absorption cross section of PSII (σ</w:t>
      </w:r>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Changes of effective absorption cross section of PSII (</w:t>
      </w:r>
      <m:oMath>
        <m:r>
          <m:t>σ</m:t>
        </m:r>
      </m:oMath>
      <w:r>
        <w:rPr>
          <w:vertAlign w:val="subscript"/>
        </w:rPr>
        <w:t xml:space="preserve">PSII</w:t>
      </w:r>
      <w:r>
        <w:t xml:space="preserve">‘</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were demonstrated (Fig.</w:t>
      </w:r>
      <w:r>
        <w:t xml:space="preserve"> </w:t>
      </w:r>
      <w:r>
        <w:t xml:space="preserve">8</w:t>
      </w:r>
      <w:r>
        <w:t xml:space="preserve">). Changes of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at the dark period under Ex</w:t>
      </w:r>
      <w:r>
        <w:rPr>
          <w:vertAlign w:val="subscript"/>
        </w:rPr>
        <w:t xml:space="preserve">590nm</w:t>
      </w:r>
      <w:r>
        <w:t xml:space="preserve"> </w:t>
      </w:r>
      <w:r>
        <w:t xml:space="preserve">(orange) excitation vs. total Phyco/Chl</w:t>
      </w:r>
      <w:r>
        <w:t xml:space="preserve"> </w:t>
      </w:r>
      <w:r>
        <w:rPr>
          <w:iCs/>
          <w:i/>
        </w:rPr>
        <w:t xml:space="preserve">a</w:t>
      </w:r>
      <w:r>
        <w:t xml:space="preserve"> </w:t>
      </w:r>
      <w:r>
        <w:t xml:space="preserve">ratio were shown in Supplementary material (Fig. S9, Table Sxxx). Also, the</w:t>
      </w:r>
      <w:r>
        <w:t xml:space="preserve"> </w:t>
      </w:r>
      <m:oMath>
        <m:r>
          <m:t>σ</m:t>
        </m:r>
      </m:oMath>
      <w:r>
        <w:rPr>
          <w:vertAlign w:val="subscript"/>
        </w:rPr>
        <w:t xml:space="preserve">PSII</w:t>
      </w:r>
      <w:r>
        <w:t xml:space="preserve">’</w:t>
      </w:r>
      <w:r>
        <w:t xml:space="preserve"> </w:t>
      </w:r>
      <w:r>
        <w:t xml:space="preserve">measured under diel peak PAR growth light under Ex</w:t>
      </w:r>
      <w:r>
        <w:rPr>
          <w:vertAlign w:val="subscript"/>
        </w:rPr>
        <w:t xml:space="preserve">445nm</w:t>
      </w:r>
      <w:r>
        <w:t xml:space="preserve"> </w:t>
      </w:r>
      <w:r>
        <w:t xml:space="preserve">(blue) excitation vs. total Phyco/Chl</w:t>
      </w:r>
      <w:r>
        <w:t xml:space="preserve"> </w:t>
      </w:r>
      <w:r>
        <w:rPr>
          <w:iCs/>
          <w:i/>
        </w:rPr>
        <w:t xml:space="preserve">a</w:t>
      </w:r>
      <w:r>
        <w:t xml:space="preserve"> </w:t>
      </w:r>
      <w:r>
        <w:t xml:space="preserve">ratio was shown in Fig. S11 and Table S14-S15.</w:t>
      </w:r>
    </w:p>
    <w:p>
      <w:pPr>
        <w:pStyle w:val="BodyText"/>
      </w:pPr>
      <w:r>
        <w:t xml:space="preserve">In this work we found that</w:t>
      </w:r>
      <w:r>
        <w:t xml:space="preserve"> </w:t>
      </w:r>
      <m:oMath>
        <m:r>
          <m:t>σ</m:t>
        </m:r>
      </m:oMath>
      <w:r>
        <w:rPr>
          <w:vertAlign w:val="subscript"/>
        </w:rPr>
        <w:t xml:space="preserve">PSII</w:t>
      </w:r>
      <w:r>
        <w:t xml:space="preserve">’ showed a consistent relation to phycobilisome:chlorophyll ratio. Three-way factorial ANOVA showed that individual factor (cumulative diel PAR, phase of growth, or strain) and their interactions, significantly affected the</w:t>
      </w:r>
      <w:r>
        <w:t xml:space="preserve"> </w:t>
      </w:r>
      <m:oMath>
        <m:r>
          <m:t>σ</m:t>
        </m:r>
      </m:oMath>
      <w:r>
        <w:rPr>
          <w:vertAlign w:val="subscript"/>
        </w:rPr>
        <w:t xml:space="preserve">PSII</w:t>
      </w:r>
      <w:r>
        <w:t xml:space="preserve">’ measured under diel peak PAR growth light under Ex</w:t>
      </w:r>
      <w:r>
        <w:rPr>
          <w:vertAlign w:val="subscript"/>
        </w:rPr>
        <w:t xml:space="preserve">590nm</w:t>
      </w:r>
      <w:r>
        <w:t xml:space="preserve"> </w:t>
      </w:r>
      <w:r>
        <w:t xml:space="preserve">excitation relation to the total Phyco/Chl</w:t>
      </w:r>
      <w:r>
        <w:t xml:space="preserve"> </w:t>
      </w:r>
      <w:r>
        <w:rPr>
          <w:iCs/>
          <w:i/>
        </w:rPr>
        <w:t xml:space="preserve">a</w:t>
      </w:r>
      <w:r>
        <w:t xml:space="preserve"> </w:t>
      </w:r>
      <w:r>
        <w:t xml:space="preserve">ratio (ANOVA,</w:t>
      </w:r>
      <w:r>
        <w:t xml:space="preserve"> </w:t>
      </w:r>
      <w:r>
        <w:rPr>
          <w:iCs/>
          <w:i/>
        </w:rPr>
        <w:t xml:space="preserve">p</w:t>
      </w:r>
      <w:r>
        <w:t xml:space="preserve"> </w:t>
      </w:r>
      <w:r>
        <w:t xml:space="preserve">&lt; 0.05; Table S16 in Supplemental material).</w:t>
      </w:r>
    </w:p>
    <w:p>
      <w:pPr>
        <w:pStyle w:val="BodyText"/>
      </w:pPr>
      <w:r>
        <w:t xml:space="preserve">The</w:t>
      </w:r>
      <w:r>
        <w:t xml:space="preserve"> </w:t>
      </w:r>
      <m:oMath>
        <m:r>
          <m:t>σ</m:t>
        </m:r>
      </m:oMath>
      <w:r>
        <w:rPr>
          <w:vertAlign w:val="subscript"/>
        </w:rPr>
        <w:t xml:space="preserve">PSII</w:t>
      </w:r>
      <w:r>
        <w:t xml:space="preserve">’ excited through chlorophyll absorbance at Ex</w:t>
      </w:r>
      <w:r>
        <w:rPr>
          <w:vertAlign w:val="subscript"/>
        </w:rPr>
        <w:t xml:space="preserve">445nm</w:t>
      </w:r>
      <w:r>
        <w:t xml:space="preserve"> </w:t>
      </w:r>
      <w:r>
        <w:t xml:space="preserve">was consistently small across strains and growth conditions, since in cyanobacteria the number of chlorophyll serving PSII is nearly fixed (CITATIONS DOUG, Fig. S11). For</w:t>
      </w:r>
      <w:r>
        <w:t xml:space="preserve"> </w:t>
      </w:r>
      <m:oMath>
        <m:r>
          <m:t>σ</m:t>
        </m:r>
      </m:oMath>
      <w:r>
        <w:rPr>
          <w:vertAlign w:val="subscript"/>
        </w:rPr>
        <w:t xml:space="preserve">PSII</w:t>
      </w:r>
      <w:r>
        <w:t xml:space="preserve">’ excited through phycobilisome absorbance at Ex</w:t>
      </w:r>
      <w:r>
        <w:rPr>
          <w:vertAlign w:val="subscript"/>
        </w:rPr>
        <w:t xml:space="preserve">590nm</w:t>
      </w:r>
      <w:r>
        <w:t xml:space="preserve">, strains show consistent positive correlation with total Phyco/Chl</w:t>
      </w:r>
      <w:r>
        <w:t xml:space="preserve"> </w:t>
      </w:r>
      <w:r>
        <w:rPr>
          <w:iCs/>
          <w:i/>
        </w:rPr>
        <w:t xml:space="preserve">a</w:t>
      </w:r>
      <w:r>
        <w:t xml:space="preserve"> </w:t>
      </w:r>
      <w:r>
        <w:t xml:space="preserve">ratio.</w:t>
      </w:r>
      <w:r>
        <w:t xml:space="preserve"> </w:t>
      </w:r>
      <w:r>
        <w:t xml:space="preserve">Strains in exponential growth show significant scatter around this positive relation, likely related to regulatory control of</w:t>
      </w:r>
      <w:r>
        <w:t xml:space="preserve"> </w:t>
      </w:r>
      <m:oMath>
        <m:r>
          <m:t>σ</m:t>
        </m:r>
      </m:oMath>
      <w:r>
        <w:rPr>
          <w:vertAlign w:val="subscript"/>
        </w:rPr>
        <w:t xml:space="preserve">PSII</w:t>
      </w:r>
      <w:r>
        <w:t xml:space="preserve">‘</w:t>
      </w:r>
      <w:r>
        <w:t xml:space="preserve">, beyond pigment composition. Under pre-stationary phase the relationship between</w:t>
      </w:r>
      <w:r>
        <w:t xml:space="preserve"> </w:t>
      </w:r>
      <m:oMath>
        <m:r>
          <m:t>σ</m:t>
        </m:r>
      </m:oMath>
      <w:r>
        <w:rPr>
          <w:vertAlign w:val="subscript"/>
        </w:rPr>
        <w:t xml:space="preserve">PSII</w:t>
      </w:r>
      <w:r>
        <w:t xml:space="preserve">’</w:t>
      </w:r>
      <w:r>
        <w:t xml:space="preserve"> </w:t>
      </w:r>
      <w:r>
        <w:t xml:space="preserve">and total Phyco/Chl</w:t>
      </w:r>
      <w:r>
        <w:t xml:space="preserve"> </w:t>
      </w:r>
      <w:r>
        <w:rPr>
          <w:iCs/>
          <w:i/>
        </w:rPr>
        <w:t xml:space="preserve">a</w:t>
      </w:r>
      <w:r>
        <w:t xml:space="preserve"> </w:t>
      </w:r>
      <w:r>
        <w:t xml:space="preserve">ratio was more consistent, suggesting an increase in reliance upon compositional regulation to control light delivery to PSII, as opposed to shorter-term regulation.</w:t>
      </w:r>
    </w:p>
    <w:p>
      <w:pPr>
        <w:pStyle w:val="BodyText"/>
      </w:pPr>
      <w:r>
        <w:t xml:space="preserve">The linear fits also vary significantly among strains. The linear fit models differ significantly among PC-rich_077 and two PE-rich strains during their exponential phase of growth. During pre-stationary phase we noted significant differences between two PC-rich strains and PE-rich_048. Moreover, the significant differences between the fit models for different phases of growth were noted for PC-rich strains 056 and 077 (t-test;</w:t>
      </w:r>
      <w:r>
        <w:t xml:space="preserve"> </w:t>
      </w:r>
      <w:r>
        <w:rPr>
          <w:iCs/>
          <w:i/>
        </w:rPr>
        <w:t xml:space="preserve">p</w:t>
      </w:r>
      <w:r>
        <w:t xml:space="preserve"> </w:t>
      </w:r>
      <w:r>
        <w:t xml:space="preserve">&lt; 0.05, Table S17).</w:t>
      </w:r>
    </w:p>
    <w:p>
      <w:pPr>
        <w:pStyle w:val="CaptionedFigure"/>
      </w:pPr>
      <w:r>
        <w:drawing>
          <wp:inline>
            <wp:extent cx="5943600" cy="7641771"/>
            <wp:effectExtent b="0" l="0" r="0" t="0"/>
            <wp:docPr descr="Figure 8: Changes of effective absorption cross section of PSII (σPSII’; nm2 quanta−1) measured under diel peak PAR growth light with excitation of phycobilisomes (Ex590nm, orange) vs. the ratio of sum of µg phycobilins (PE, PC, APC protein, total Phyco)/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65" name="Picture"/>
            <a:graphic>
              <a:graphicData uri="http://schemas.openxmlformats.org/drawingml/2006/picture">
                <pic:pic>
                  <pic:nvPicPr>
                    <pic:cNvPr descr="../Output/Figures/Fig_SigmaPig590.png" id="66" name="Picture"/>
                    <pic:cNvPicPr>
                      <a:picLocks noChangeArrowheads="1" noChangeAspect="1"/>
                    </pic:cNvPicPr>
                  </pic:nvPicPr>
                  <pic:blipFill>
                    <a:blip r:embed="rId6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7" w:name="fig:SigmaPig590"/>
      <w:bookmarkEnd w:id="67"/>
      <w:r>
        <w:t xml:space="preserve">Figure 8:</w:t>
      </w:r>
      <w:r>
        <w:t xml:space="preserve"> </w:t>
      </w:r>
      <w:r>
        <w:rPr>
          <w:bCs/>
          <w:b/>
        </w:rPr>
        <w:t xml:space="preserve">Changes of effective absorption cross section of PSII</w:t>
      </w:r>
      <w:r>
        <w:t xml:space="preserve"> </w:t>
      </w:r>
      <w:r>
        <w:t xml:space="preserve">(σ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rPr>
          <w:bCs/>
          <w:b/>
        </w:rPr>
        <w:t xml:space="preserve">measured under diel peak PAR growth light with excitation of phycobilisomes (Ex</w:t>
      </w:r>
      <w:r>
        <w:rPr>
          <w:vertAlign w:val="subscript"/>
          <w:bCs/>
          <w:b/>
        </w:rPr>
        <w:t xml:space="preserve">590nm</w:t>
      </w:r>
      <w:r>
        <w:rPr>
          <w:bCs/>
          <w:b/>
        </w:rPr>
        <w:t xml:space="preserve">, orange) vs. the ratio of sum of µg phycobilins (PE, PC, APC protein, total Phyco)/µg Chl</w:t>
      </w:r>
      <w:r>
        <w:rPr>
          <w:bCs/>
          <w:b/>
        </w:rPr>
        <w:t xml:space="preserve"> </w:t>
      </w:r>
      <w:r>
        <w:rPr>
          <w:iCs/>
          <w:i/>
          <w:bCs/>
          <w:b/>
        </w:rPr>
        <w:t xml:space="preserve">a</w:t>
      </w:r>
      <w:r>
        <w:rPr>
          <w:bCs/>
          <w:b/>
        </w:rPr>
        <w:t xml:space="preserve">;</w:t>
      </w:r>
      <w:r>
        <w:t xml:space="preserve"> </w:t>
      </w:r>
      <w:r>
        <w:t xml:space="preserve">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w:t>
      </w:r>
      <w:r>
        <w:t xml:space="preserve"> </w:t>
      </w:r>
      <w:r>
        <w:rPr>
          <w:iCs/>
          <w:i/>
        </w:rPr>
        <w:t xml:space="preserve">p</w:t>
      </w:r>
      <w:r>
        <w:t xml:space="preserve"> </w:t>
      </w:r>
      <w:r>
        <w:t xml:space="preserve">&lt; 0.05).</w:t>
      </w:r>
    </w:p>
    <w:bookmarkEnd w:id="68"/>
    <w:bookmarkStart w:id="73" w:name="changes-in-psii-flux"/>
    <w:p>
      <w:pPr>
        <w:pStyle w:val="Heading2"/>
      </w:pPr>
      <w:r>
        <w:t xml:space="preserve">Changes in PSII flux</w:t>
      </w:r>
    </w:p>
    <w:p>
      <w:pPr>
        <w:pStyle w:val="CaptionedFigure"/>
      </w:pPr>
      <w:r>
        <w:drawing>
          <wp:inline>
            <wp:extent cx="5943600" cy="7641771"/>
            <wp:effectExtent b="0" l="0" r="0" t="0"/>
            <wp:docPr descr="Figure 9: Chlorophyll specific exponential growth rates (d−1) vs. PSII flux (JVPSII; e−cell−1d−1) measured under diel peak PAR growth light. Growth rates (+/- SE falling within symbols) were estimated from logistic fits of chlorophyll proxy OD680 - OD720 vs. elapsed time (Fig. S4). PSII flux (JVPSII; e−cell−1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only when they were significantly different (ANOVA, p &lt; 0.05) from the fit of pooled data." title="" id="70" name="Picture"/>
            <a:graphic>
              <a:graphicData uri="http://schemas.openxmlformats.org/drawingml/2006/picture">
                <pic:pic>
                  <pic:nvPicPr>
                    <pic:cNvPr descr="../Output/Figures/Fig_GrowthRate_JVPSII_Photoperiod.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GrowthRateJVPSII"/>
      <w:bookmarkEnd w:id="72"/>
      <w:r>
        <w:t xml:space="preserve">Figure 9:</w:t>
      </w:r>
      <w:r>
        <w:t xml:space="preserve"> </w:t>
      </w:r>
      <w:r>
        <w:rPr>
          <w:bCs/>
          <w:b/>
        </w:rPr>
        <w:t xml:space="preserve">Chlorophyll specific exponential growth rates (d</w:t>
      </w:r>
      <w:r>
        <w:rPr>
          <w:vertAlign w:val="superscript"/>
          <w:bCs/>
          <w:b/>
        </w:rPr>
        <w:t xml:space="preserve">−1</w:t>
      </w:r>
      <w:r>
        <w:rPr>
          <w:bCs/>
          <w:b/>
        </w:rPr>
        <w:t xml:space="preserve">) vs. PSII flux (</w:t>
      </w:r>
      <w:r>
        <w:rPr>
          <w:iCs/>
          <w:i/>
          <w:bCs/>
          <w:b/>
        </w:rPr>
        <w:t xml:space="preserve">JV</w:t>
      </w:r>
      <w:r>
        <w:rPr>
          <w:vertAlign w:val="subscript"/>
          <w:bCs/>
          <w:b/>
        </w:rPr>
        <w:t xml:space="preserve">PSII</w:t>
      </w:r>
      <w:r>
        <w:rPr>
          <w:bCs/>
          <w:b/>
        </w:rPr>
        <w:t xml:space="preserve">; e</w:t>
      </w:r>
      <w:r>
        <w:rPr>
          <w:vertAlign w:val="superscript"/>
          <w:bCs/>
          <w:b/>
        </w:rPr>
        <w:t xml:space="preserve">−</w:t>
      </w:r>
      <w:r>
        <w:rPr>
          <w:bCs/>
          <w:b/>
        </w:rPr>
        <w:t xml:space="preserve">cell</w:t>
      </w:r>
      <w:r>
        <w:rPr>
          <w:vertAlign w:val="superscript"/>
          <w:bCs/>
          <w:b/>
        </w:rPr>
        <w:t xml:space="preserve">−1</w:t>
      </w:r>
      <w:r>
        <w:rPr>
          <w:bCs/>
          <w:b/>
        </w:rPr>
        <w:t xml:space="preserve">d</w:t>
      </w:r>
      <w:r>
        <w:rPr>
          <w:vertAlign w:val="superscript"/>
          <w:bCs/>
          <w:b/>
        </w:rPr>
        <w:t xml:space="preserve">−1</w:t>
      </w:r>
      <w:r>
        <w:rPr>
          <w:bCs/>
          <w:b/>
        </w:rPr>
        <w:t xml:space="preserve">) measured under diel peak PAR growth light.</w:t>
      </w:r>
      <w:r>
        <w:t xml:space="preserve"> </w:t>
      </w:r>
      <w:r>
        <w:t xml:space="preserve">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(Fig. S4). PSII flux (</w:t>
      </w:r>
      <w:r>
        <w:rPr>
          <w:iCs/>
          <w:i/>
        </w:rPr>
        <w:t xml:space="preserve">JV</w:t>
      </w:r>
      <w:r>
        <w:rPr>
          <w:vertAlign w:val="subscript"/>
        </w:rPr>
        <w:t xml:space="preserve">PSII</w:t>
      </w:r>
      <w:r>
        <w:t xml:space="preserve">; e</w:t>
      </w:r>
      <w:r>
        <w:rPr>
          <w:vertAlign w:val="superscript"/>
        </w:rPr>
        <w:t xml:space="preserve">−</w:t>
      </w:r>
      <w:r>
        <w:t xml:space="preserve">cell</w:t>
      </w:r>
      <w:r>
        <w:rPr>
          <w:vertAlign w:val="superscript"/>
        </w:rPr>
        <w:t xml:space="preserve">−1</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only when they were significantly different (ANOVA,</w:t>
      </w:r>
      <w:r>
        <w:t xml:space="preserve"> </w:t>
      </w:r>
      <w:r>
        <w:rPr>
          <w:iCs/>
          <w:i/>
        </w:rPr>
        <w:t xml:space="preserve">p</w:t>
      </w:r>
      <w:r>
        <w:t xml:space="preserve"> </w:t>
      </w:r>
      <w:r>
        <w:t xml:space="preserve">&lt; 0.05) from the fit of pooled data.</w:t>
      </w:r>
    </w:p>
    <w:bookmarkEnd w:id="73"/>
    <w:bookmarkEnd w:id="74"/>
    <w:bookmarkStart w:id="83" w:name="discussion"/>
    <w:p>
      <w:pPr>
        <w:pStyle w:val="Heading1"/>
      </w:pPr>
      <w:r>
        <w:t xml:space="preserve">Discussion</w:t>
      </w:r>
    </w:p>
    <w:p>
      <w:pPr>
        <w:pStyle w:val="FirstParagraph"/>
      </w:pPr>
      <w:r>
        <w:t xml:space="preserve">growth rate:</w:t>
      </w:r>
      <w:r>
        <w:t xml:space="preserve"> </w:t>
      </w:r>
      <w:r>
        <w:t xml:space="preserve">In this study, the chlorophyll specific exponential growth rates (μ; d</w:t>
      </w:r>
      <w:r>
        <w:rPr>
          <w:vertAlign w:val="superscript"/>
        </w:rPr>
        <w:t xml:space="preserve">−1</w:t>
      </w:r>
      <w:r>
        <w:t xml:space="preserve">) vs. cumulative diel PAR (Fig Sxxx in Supplementary materials) or PUR (µmol photons m</w:t>
      </w:r>
      <w:r>
        <w:rPr>
          <w:vertAlign w:val="superscript"/>
        </w:rPr>
        <w:t xml:space="preserve">−2</w:t>
      </w:r>
      <w:r>
        <w:t xml:space="preserve">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were determined. Growth rates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for picocyanobacteria cultures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w:t>
      </w:r>
      <w:r>
        <w:t xml:space="preserve">).</w:t>
      </w:r>
    </w:p>
    <w:p>
      <w:pPr>
        <w:pStyle w:val="BodyText"/>
      </w:pPr>
      <w:r>
        <w:t xml:space="preserve">Analyzed phenotypes of</w:t>
      </w:r>
      <w:r>
        <w:t xml:space="preserve"> </w:t>
      </w:r>
      <w:r>
        <w:rPr>
          <w:iCs/>
          <w:i/>
        </w:rPr>
        <w:t xml:space="preserve">Synechococcus</w:t>
      </w:r>
      <w:r>
        <w:t xml:space="preserve"> </w:t>
      </w:r>
      <w:r>
        <w:t xml:space="preserve">sp. showed varying chlorophyll specific exponential growth rates (μ) under different photoperiod and light conditions. Three-way factorial ANOVA showed that individual factor (irradiance, photoperiod, and strain) and their interactions significantly affected the μ,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elapsed time (ANOVA,</w:t>
      </w:r>
      <w:r>
        <w:t xml:space="preserve"> </w:t>
      </w:r>
      <w:r>
        <w:rPr>
          <w:iCs/>
          <w:i/>
        </w:rPr>
        <w:t xml:space="preserve">p</w:t>
      </w:r>
      <w:r>
        <w:t xml:space="preserve"> </w:t>
      </w:r>
      <w:r>
        <w:t xml:space="preserve">&lt; 0.05 for all; Table S3). All tested strains were able to grow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except PE-rich_048.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and PC-rich_056 (μ = 3.4 d</w:t>
      </w:r>
      <w:r>
        <w:rPr>
          <w:vertAlign w:val="superscript"/>
        </w:rPr>
        <w:t xml:space="preserve">−1</w:t>
      </w:r>
      <w:r>
        <w:t xml:space="preserve">) at the 180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BodyText"/>
      </w:pPr>
      <w:r>
        <w:t xml:space="preserve">We also found that cumulative diel PUR consistently explains achieved μ across a matrix of photoperiods and peak PAR. Every strain showed distinct growth responses to cumulative diel PUR, depending upon photoperiod. One-way ANOVA of a three parameter model</w:t>
      </w:r>
      <w:r>
        <w:t xml:space="preserve"> </w:t>
      </w:r>
      <w:r>
        <w:t xml:space="preserve">(Harrison and Platt 1986)</w:t>
      </w:r>
      <w:r>
        <w:t xml:space="preserve"> </w:t>
      </w:r>
      <w:r>
        <w:t xml:space="preserve">from μ for two PC-rich and two PE-rich cultures of</w:t>
      </w:r>
      <w:r>
        <w:t xml:space="preserve"> </w:t>
      </w:r>
      <w:r>
        <w:rPr>
          <w:iCs/>
          <w:i/>
        </w:rPr>
        <w:t xml:space="preserve">Synechococcus</w:t>
      </w:r>
      <w:r>
        <w:t xml:space="preserve"> </w:t>
      </w:r>
      <w:r>
        <w:t xml:space="preserve">sp. showed significant difference between model performed from pooled data and data fit across all tested photoperiods (8, 12, 16, or 24 h; ANOVA,</w:t>
      </w:r>
      <w:r>
        <w:t xml:space="preserve"> </w:t>
      </w:r>
      <w:r>
        <w:rPr>
          <w:iCs/>
          <w:i/>
        </w:rPr>
        <w:t xml:space="preserve">p</w:t>
      </w:r>
      <w:r>
        <w:t xml:space="preserve"> </w:t>
      </w:r>
      <w:r>
        <w:t xml:space="preserve">&lt; 0.05, Table S4 in Supplemental material). Strains also showed distinct growth responses to cumulative diel PUR, depending upon peak PAR. In supplemental data (Fig. S5), strains generally showed peak-PAR specific responses to cumulative diel PAR or PUR,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(Table S5 in Supplemental material). A caveat to these findings is that cumulative diel photon dose is a product of photoperiod and PAR, so the highest levels of cumulative diel photon dose are only achieved under the 600 or 900 µmol photons m</w:t>
      </w:r>
      <w:r>
        <w:rPr>
          <w:vertAlign w:val="superscript"/>
        </w:rPr>
        <w:t xml:space="preserve">−2</w:t>
      </w:r>
      <w:r>
        <w:t xml:space="preserve">s</w:t>
      </w:r>
      <w:r>
        <w:rPr>
          <w:vertAlign w:val="superscript"/>
        </w:rPr>
        <w:t xml:space="preserve">−1</w:t>
      </w:r>
      <w:r>
        <w:t xml:space="preserve">.</w:t>
      </w:r>
    </w:p>
    <w:p>
      <w:pPr>
        <w:pStyle w:val="BodyText"/>
      </w:pPr>
      <w:r>
        <w:t xml:space="preserve">Growth rate saturated under increasing cumulative diel PAR for all strains however, the achieved estimates of µ</w:t>
      </w:r>
      <w:r>
        <w:rPr>
          <w:vertAlign w:val="subscript"/>
        </w:rPr>
        <w:t xml:space="preserve">max</w:t>
      </w:r>
      <w:r>
        <w:t xml:space="preserve"> </w:t>
      </w:r>
      <w:r>
        <w:t xml:space="preserve">varied depending upon photoperiod and peak diel PAR. Growth rates vs. cumulative diel PUR relationships, estimated for exponential phase cultures, followed similar patterns (Fig. S6 and Table Sxxx in Supplemental material).</w:t>
      </w:r>
    </w:p>
    <w:bookmarkStart w:id="78" w:name="X174294fdbd43bc163baa03fda2d0bed26ef4b1f"/>
    <w:p>
      <w:pPr>
        <w:pStyle w:val="Heading2"/>
      </w:pPr>
      <w:r>
        <w:t xml:space="preserve">Photic regime significance for picocyanobacteria growth</w:t>
      </w:r>
    </w:p>
    <w:bookmarkStart w:id="75" w:name="photoperiod-length"/>
    <w:p>
      <w:pPr>
        <w:pStyle w:val="Heading3"/>
      </w:pPr>
      <w:r>
        <w:t xml:space="preserve">Photoperiod length</w:t>
      </w:r>
    </w:p>
    <w:p>
      <w:pPr>
        <w:pStyle w:val="FirstParagraph"/>
      </w:pPr>
      <w:r>
        <w:t xml:space="preserve">Changes in photoperiod trigger adaptive responses, shaping the temporal dynamics and community structure of phytoplankton</w:t>
      </w:r>
      <w:r>
        <w:t xml:space="preserve"> </w:t>
      </w:r>
      <w:r>
        <w:t xml:space="preserve">(Alberte et al. 1980; Huisman et al. 2002; LaRoche and Robicheau 2022)</w:t>
      </w:r>
      <w:r>
        <w:t xml:space="preserve">.</w:t>
      </w:r>
      <w:r>
        <w:t xml:space="preserve"> </w:t>
      </w:r>
      <w:r>
        <w:t xml:space="preserve">This work revealed that not only the daily dose of light, but also the length of exposure affected the picocyanobacteria growth rate. The PE-rich and PC-rich strains of</w:t>
      </w:r>
      <w:r>
        <w:t xml:space="preserve"> </w:t>
      </w:r>
      <w:r>
        <w:rPr>
          <w:iCs/>
          <w:i/>
        </w:rPr>
        <w:t xml:space="preserve">Synechococcus</w:t>
      </w:r>
      <w:r>
        <w:t xml:space="preserve"> </w:t>
      </w:r>
      <w:r>
        <w:t xml:space="preserve">sp. showed faster chlorophyll specific exponential growth rates with increasing photoperiod, including constant light conditions. This is particularly important in regions with a longer photoperiod but relatively low irradiances, for example, in the Arctic and Antarctic regions, where PC-strains may become dominant species in the surface waters.</w:t>
      </w:r>
    </w:p>
    <w:p>
      <w:pPr>
        <w:pStyle w:val="BodyText"/>
      </w:pPr>
      <w:r>
        <w:t xml:space="preserve">xxx - paper about existence pico in arctic. Maybe different regions?</w:t>
      </w:r>
    </w:p>
    <w:p>
      <w:pPr>
        <w:pStyle w:val="BodyText"/>
      </w:pPr>
      <w:r>
        <w:t xml:space="preserve">Here, we confirmed that</w:t>
      </w:r>
      <w:r>
        <w:t xml:space="preserve"> </w:t>
      </w:r>
      <w:r>
        <w:rPr>
          <w:iCs/>
          <w:i/>
        </w:rPr>
        <w:t xml:space="preserve">Synechococcus</w:t>
      </w:r>
      <w:r>
        <w:t xml:space="preserve"> </w:t>
      </w:r>
      <w:r>
        <w:t xml:space="preserve">sp. can exist and even become the dominant faction of phytoplankton in all geographic zones on Earth as long as they have access to light. In regions with a longer photoperiod (summer in the temperate zone and summer at the poles), PC-strains may become dominant species in the surface waters whereas some of PC-strains of</w:t>
      </w:r>
      <w:r>
        <w:t xml:space="preserve"> </w:t>
      </w:r>
      <w:r>
        <w:rPr>
          <w:iCs/>
          <w:i/>
        </w:rPr>
        <w:t xml:space="preserve">Synechococcus</w:t>
      </w:r>
      <w:r>
        <w:t xml:space="preserve"> </w:t>
      </w:r>
      <w:r>
        <w:t xml:space="preserve">sp. may be less numerous than PE-strains in surface waters (where the light intensity could be extremely high) when the photoperiod is quite low (autumn and winter in temperate zones and tropical water throughout the year). Our research has also highlighted the possibility of occurrence of both PE-rich and PC-rich Synechococcus sp. in conditions of continuous irradiation. Thus, it can be predicted that</w:t>
      </w:r>
      <w:r>
        <w:t xml:space="preserve"> </w:t>
      </w:r>
      <w:r>
        <w:rPr>
          <w:iCs/>
          <w:i/>
        </w:rPr>
        <w:t xml:space="preserve">Synechococcus</w:t>
      </w:r>
      <w:r>
        <w:t xml:space="preserve"> </w:t>
      </w:r>
      <w:r>
        <w:t xml:space="preserve">may become the dominant fraction of phytoplankton during the Arctic summer near the poles regions regardless of their genetic lineages and pigments composition.</w:t>
      </w:r>
    </w:p>
    <w:bookmarkEnd w:id="75"/>
    <w:bookmarkStart w:id="76" w:name="photosynthetically-active-radiation-par"/>
    <w:p>
      <w:pPr>
        <w:pStyle w:val="Heading3"/>
      </w:pPr>
      <w:r>
        <w:t xml:space="preserve">Photosynthetically Active Radiation (PAR)</w:t>
      </w:r>
    </w:p>
    <w:p>
      <w:pPr>
        <w:pStyle w:val="FirstParagraph"/>
      </w:pPr>
      <w:r>
        <w:t xml:space="preserve">Numerous studies have highlighted the significance of PAR and light intensity as a key driver of phytoplankton productivity and its influence on ecosystem dynamics, biogeochemical cycling, and food web interactions</w:t>
      </w:r>
      <w:r>
        <w:t xml:space="preserve"> </w:t>
      </w:r>
      <w:r>
        <w:t xml:space="preserve">(e.g., Kirk 1983; Field et al. 1998; Torremorell et al. 2009; Churilova et al. 2020)</w:t>
      </w:r>
      <w:r>
        <w:t xml:space="preserve">.</w:t>
      </w:r>
    </w:p>
    <w:p>
      <w:pPr>
        <w:pStyle w:val="BodyText"/>
      </w:pPr>
      <w:r>
        <w:rPr>
          <w:iCs/>
          <w:i/>
        </w:rPr>
        <w:t xml:space="preserve">Synechococcus</w:t>
      </w:r>
      <w:r>
        <w:t xml:space="preserve"> </w:t>
      </w:r>
      <w:r>
        <w:t xml:space="preserve">sp., a widely studied picocyanobacterial genus, exhibits remarkable adaptability to different light intensities, particularly under white light conditions. White light encompasses the entire visible spectrum, and</w:t>
      </w:r>
      <w:r>
        <w:t xml:space="preserve"> </w:t>
      </w:r>
      <w:r>
        <w:rPr>
          <w:iCs/>
          <w:i/>
        </w:rPr>
        <w:t xml:space="preserve">Synechococcus</w:t>
      </w:r>
      <w:r>
        <w:t xml:space="preserve"> </w:t>
      </w:r>
      <w:r>
        <w:t xml:space="preserve">sp. has developed various strategies to optimize its photosynthetic efficiency across a range of light intensities. Under high-light conditions,</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antenna pigments, such as phycobilisomes,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In this study, chlorophyll specific exponential growth rates of the PE-rich and PC-rich</w:t>
      </w:r>
      <w:r>
        <w:t xml:space="preserve"> </w:t>
      </w:r>
      <w:r>
        <w:rPr>
          <w:iCs/>
          <w:i/>
        </w:rPr>
        <w:t xml:space="preserve">Synechococcus</w:t>
      </w:r>
      <w:r>
        <w:t xml:space="preserve"> </w:t>
      </w:r>
      <w:r>
        <w:t xml:space="preserve">sp. strains increased at the light levels, although some strains suffered photoinhibition. The</w:t>
      </w:r>
      <w:r>
        <w:t xml:space="preserve"> </w:t>
      </w:r>
      <w:r>
        <w:rPr>
          <w:iCs/>
          <w:i/>
        </w:rPr>
        <w:t xml:space="preserve">Synechococcus</w:t>
      </w:r>
      <w:r>
        <w:t xml:space="preserve"> </w:t>
      </w:r>
      <w:r>
        <w:t xml:space="preserve">sp. strains reached a plateau in the light intensity range of 180-300 µmol photons m</w:t>
      </w:r>
      <w:r>
        <w:rPr>
          <w:vertAlign w:val="superscript"/>
        </w:rPr>
        <w:t xml:space="preserve">−2</w:t>
      </w:r>
      <w:r>
        <w:t xml:space="preserve">s</w:t>
      </w:r>
      <w:r>
        <w:rPr>
          <w:vertAlign w:val="superscript"/>
        </w:rPr>
        <w:t xml:space="preserve">−1</w:t>
      </w:r>
      <w:r>
        <w:t xml:space="preserve">. Growth at 900 µmol photons m</w:t>
      </w:r>
      <w:r>
        <w:rPr>
          <w:vertAlign w:val="superscript"/>
        </w:rPr>
        <w:t xml:space="preserve">−2</w:t>
      </w:r>
      <w:r>
        <w:t xml:space="preserve">s</w:t>
      </w:r>
      <w:r>
        <w:rPr>
          <w:vertAlign w:val="superscript"/>
        </w:rPr>
        <w:t xml:space="preserve">−1</w:t>
      </w:r>
      <w:r>
        <w:t xml:space="preserve"> </w:t>
      </w:r>
      <w:r>
        <w:t xml:space="preserve">was also noted but not as efficient as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strains may survive under high-irradiance conditions, implying much wider tolerance range that reported in the literature [citationxxx] that needs to be accounted for while developing large-scale phytoplankton models.</w:t>
      </w:r>
    </w:p>
    <w:p>
      <w:pPr>
        <w:pStyle w:val="BodyText"/>
      </w:pPr>
      <w:r>
        <w:t xml:space="preserve">Our research shows that an increase in light intensity can result in the dominance of both PE-rich and PC-rich picocyanobacteria in aquatic ecosystems and confirmed the possibility of occurrence of</w:t>
      </w:r>
      <w:r>
        <w:t xml:space="preserve"> </w:t>
      </w:r>
      <w:r>
        <w:rPr>
          <w:iCs/>
          <w:i/>
        </w:rPr>
        <w:t xml:space="preserve">Synechococcus</w:t>
      </w:r>
      <w:r>
        <w:t xml:space="preserve"> </w:t>
      </w:r>
      <w:r>
        <w:t xml:space="preserve">sp. in extremely high irradiance conditions.</w:t>
      </w:r>
    </w:p>
    <w:bookmarkEnd w:id="76"/>
    <w:bookmarkStart w:id="77" w:name="photosynthetically-usable-radiation-pur"/>
    <w:p>
      <w:pPr>
        <w:pStyle w:val="Heading3"/>
      </w:pPr>
      <w:r>
        <w:t xml:space="preserve">Photosynthetically Usable Radiation (PUR)</w:t>
      </w:r>
    </w:p>
    <w:p>
      <w:pPr>
        <w:pStyle w:val="FirstParagraph"/>
      </w:pPr>
      <w:r>
        <w:t xml:space="preserve">PUR is always smaller than PAR (PUR &lt; PAR) and depends on the spectral composition of the submarine radiant energy available to algae and their pigment composition determining the spectral absorption properties</w:t>
      </w:r>
      <w:r>
        <w:t xml:space="preserve"> </w:t>
      </w:r>
      <w:r>
        <w:t xml:space="preserve">(Morel 1978)</w:t>
      </w:r>
      <w:r>
        <w:t xml:space="preserve">.</w:t>
      </w:r>
    </w:p>
    <w:p>
      <w:pPr>
        <w:pStyle w:val="BodyText"/>
      </w:pPr>
      <w:r>
        <w:t xml:space="preserve">PUR plays a fundamental role in the growth and productivity of phytoplankton within aquatic ecosystems</w:t>
      </w:r>
      <w:r>
        <w:t xml:space="preserve"> </w:t>
      </w:r>
      <w:r>
        <w:t xml:space="preserve">(Morel 1988; Falkowski et al. 2000; Behrenfeld et al. 2006)</w:t>
      </w:r>
      <w:r>
        <w:t xml:space="preserve">. Phytoplankton, as primary producers, heavily rely on PUR for their energy acquisition through photosynthesis. The availability of PUR directly influences the photosynthetic rates and overall metabolic activity of phytoplankton. High levels of PUR promote optimal photosynthetic efficiency, leading to enhanced growth, reproduction, and biomass accumulation. Conversely, insufficient or suboptimal PUR availability can limit the metabolic processes and growth of phytoplankton.</w:t>
      </w:r>
    </w:p>
    <w:p>
      <w:pPr>
        <w:pStyle w:val="BodyText"/>
      </w:pPr>
      <w:r>
        <w:t xml:space="preserve">The spatial and temporal distribution of PUR within aquatic ecosystems is influenced by various factors, including solar zenith angle, water depth, water clarity, and the presence of light-absorbing substances such as dissolved organic matter</w:t>
      </w:r>
      <w:r>
        <w:t xml:space="preserve"> </w:t>
      </w:r>
      <w:r>
        <w:t xml:space="preserve">(Morel 1978, 1988)</w:t>
      </w:r>
      <w:r>
        <w:t xml:space="preserve">.</w:t>
      </w:r>
    </w:p>
    <w:p>
      <w:pPr>
        <w:pStyle w:val="BodyText"/>
      </w:pPr>
      <w:r>
        <w:t xml:space="preserve">Understanding the dynamics and availability of PUR is crucial for comprehending the variability of picocyanobacteria communities in different aquatic environments.</w:t>
      </w:r>
    </w:p>
    <w:bookmarkEnd w:id="77"/>
    <w:bookmarkEnd w:id="78"/>
    <w:bookmarkStart w:id="82" w:name="X3692c8cc7c5ea30a35794d7dc55cce4460b76da"/>
    <w:p>
      <w:pPr>
        <w:pStyle w:val="Heading2"/>
      </w:pPr>
      <w:r>
        <w:t xml:space="preserve">Photic regime and and growth phases significance for picocyanobacteria light-capture</w:t>
      </w:r>
    </w:p>
    <w:bookmarkStart w:id="79" w:name="purpar-ratio"/>
    <w:p>
      <w:pPr>
        <w:pStyle w:val="Heading3"/>
      </w:pPr>
      <w:r>
        <w:t xml:space="preserve">PUR/PAR ratio</w:t>
      </w:r>
    </w:p>
    <w:p>
      <w:pPr>
        <w:pStyle w:val="FirstParagraph"/>
      </w:pPr>
      <w:r>
        <w:t xml:space="preserve">As we face ongoing environmental changes, including alterations in light regimes due to climate change and human activities, assessing the impact of changing PUR on picocyanobacteria communities becomes increasingly important for predicting and managing the response of aquatic ecosystems.</w:t>
      </w:r>
    </w:p>
    <w:p>
      <w:pPr>
        <w:pStyle w:val="BodyText"/>
      </w:pPr>
      <w:r>
        <w:t xml:space="preserve">In this study, the PE-rich strains always had a higher PUR/PAR ratio than the PC-rich strains. The PUR/PAR ratio decreased with increasing light in the PE-rich strains, while it initially increased under low light and short photoperiod in the PC-rich strains. Our results indicate that PE-rich strains of</w:t>
      </w:r>
      <w:r>
        <w:t xml:space="preserve"> </w:t>
      </w:r>
      <w:r>
        <w:rPr>
          <w:iCs/>
          <w:i/>
        </w:rPr>
        <w:t xml:space="preserve">Synechococcus</w:t>
      </w:r>
      <w:r>
        <w:t xml:space="preserve"> </w:t>
      </w:r>
      <w:r>
        <w:t xml:space="preserve">sp., due to their high content of phycoerythrin, can better use the available radiation. Therefore, their long-term dominance in the environment can be postulated, especially in places where access to light is limited.</w:t>
      </w:r>
    </w:p>
    <w:bookmarkEnd w:id="79"/>
    <w:bookmarkStart w:id="80" w:name="pigments-content"/>
    <w:p>
      <w:pPr>
        <w:pStyle w:val="Heading3"/>
      </w:pPr>
      <w:r>
        <w:t xml:space="preserve">Pigments content</w:t>
      </w:r>
    </w:p>
    <w:p>
      <w:pPr>
        <w:pStyle w:val="FirstParagraph"/>
      </w:pPr>
      <w:r>
        <w:t xml:space="preserve">Temporal variations in cell-specific pigment content of</w:t>
      </w:r>
      <w:r>
        <w:t xml:space="preserve"> </w:t>
      </w:r>
      <w:r>
        <w:rPr>
          <w:iCs/>
          <w:i/>
        </w:rPr>
        <w:t xml:space="preserve">Synechococcus</w:t>
      </w:r>
      <w:r>
        <w:t xml:space="preserve"> </w:t>
      </w:r>
      <w:r>
        <w:t xml:space="preserve">sp. were observed during the growth phase, characterized by an initial increase followed by a sharp decrease. These trends exhibited dependency on growth, light intensity, and photoperiod, manifesting subsequent to the attainment of daily maximum absolute growth. Maximum pigment content was documented under conditions of low irradiance and extended photoperiod. Moreover, PC-rich strains had more pigments in the cell compared to PE-rich strains of</w:t>
      </w:r>
      <w:r>
        <w:t xml:space="preserve"> </w:t>
      </w:r>
      <w:r>
        <w:rPr>
          <w:iCs/>
          <w:i/>
        </w:rPr>
        <w:t xml:space="preserve">Synechococcus</w:t>
      </w:r>
      <w:r>
        <w:t xml:space="preserve"> </w:t>
      </w:r>
      <w:r>
        <w:t xml:space="preserve">sp.</w:t>
      </w:r>
    </w:p>
    <w:p>
      <w:pPr>
        <w:pStyle w:val="BodyText"/>
      </w:pPr>
      <w:r>
        <w:t xml:space="preserve">Pigment dynamics are profoundly influenced by the prevailing light regimes.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w:t>
      </w:r>
    </w:p>
    <w:bookmarkEnd w:id="80"/>
    <w:bookmarkStart w:id="81" w:name="X896ba70f6fcf7bd55c489fa1895b9327cad180d"/>
    <w:p>
      <w:pPr>
        <w:pStyle w:val="Heading3"/>
      </w:pPr>
      <w:r>
        <w:t xml:space="preserve">Effective absorption cross section of PSII and PSII flux per unit volume</w:t>
      </w:r>
    </w:p>
    <w:bookmarkEnd w:id="81"/>
    <w:bookmarkEnd w:id="82"/>
    <w:bookmarkEnd w:id="83"/>
    <w:bookmarkStart w:id="84" w:name="conclusion"/>
    <w:p>
      <w:pPr>
        <w:pStyle w:val="Heading1"/>
      </w:pPr>
      <w:r>
        <w:t xml:space="preserve">Conclusion</w:t>
      </w:r>
    </w:p>
    <w:p>
      <w:pPr>
        <w:pStyle w:val="FirstParagraph"/>
      </w:pPr>
      <w:r>
        <w:t xml:space="preserve">Understanding the influence of light intensity and photoperiod on the dynamics of picocyanobacteria is imperative for predicting their spatial distribution across various geographic regions and their response to observed environmental changes. Our findings have substantiated that</w:t>
      </w:r>
      <w:r>
        <w:t xml:space="preserve"> </w:t>
      </w:r>
      <w:r>
        <w:rPr>
          <w:iCs/>
          <w:i/>
        </w:rPr>
        <w:t xml:space="preserve">Synechococcus</w:t>
      </w:r>
      <w:r>
        <w:t xml:space="preserve"> </w:t>
      </w:r>
      <w:r>
        <w:t xml:space="preserve">sp., irrespective of its genetic lineages and pigment composition, can thrive and even dominate the phytoplankton community worldwide when exposed to sufficient light. Furthermore, our investigations have demonstrated the survival capacity of both PE-rich and PC-rich</w:t>
      </w:r>
      <w:r>
        <w:t xml:space="preserve"> </w:t>
      </w:r>
      <w:r>
        <w:rPr>
          <w:iCs/>
          <w:i/>
        </w:rPr>
        <w:t xml:space="preserve">Synechococcus</w:t>
      </w:r>
      <w:r>
        <w:t xml:space="preserve"> </w:t>
      </w:r>
      <w:r>
        <w:t xml:space="preserve">sp. strains under conditions of exceptionally high and continuous irradiation. Consequently, it can be predicted that</w:t>
      </w:r>
      <w:r>
        <w:t xml:space="preserve"> </w:t>
      </w:r>
      <w:r>
        <w:rPr>
          <w:iCs/>
          <w:i/>
        </w:rPr>
        <w:t xml:space="preserve">Synechococcus</w:t>
      </w:r>
      <w:r>
        <w:t xml:space="preserve"> </w:t>
      </w:r>
      <w:r>
        <w:t xml:space="preserve">sp. has the potential to emerge as the prevailing phytoplankton component during the Arctic summer near polar regions. Nevertheless, our results showed the PE-rich strains are stronger light-harvesting competitors as they tend to live deeper in the water column, but the PC-rich strains may have lower N-quotients for their light capture system. Additionally, we anticipate that PC-rich strains of</w:t>
      </w:r>
      <w:r>
        <w:t xml:space="preserve"> </w:t>
      </w:r>
      <w:r>
        <w:rPr>
          <w:iCs/>
          <w:i/>
        </w:rPr>
        <w:t xml:space="preserve">Synechococcus</w:t>
      </w:r>
      <w:r>
        <w:t xml:space="preserve"> </w:t>
      </w:r>
      <w:r>
        <w:t xml:space="preserve">sp. could be less abundant than PE-rich strains in surface waters, where light intensity tends to be extremely high, especially during periods of reduced photoperiod, such as autumn and winter in temperate zones and throughout the year in tropical waters. Conversely, in regions characterized by an extended photoperiod i.e., summer in the temperate zone and summer at the poles, PC-rich strains may assume dominance in surface waters. These differences may help explain differential seasonal prevalences of</w:t>
      </w:r>
      <w:r>
        <w:t xml:space="preserve"> </w:t>
      </w:r>
      <w:r>
        <w:rPr>
          <w:iCs/>
          <w:i/>
        </w:rPr>
        <w:t xml:space="preserve">Synechococcus</w:t>
      </w:r>
      <w:r>
        <w:t xml:space="preserve"> </w:t>
      </w:r>
      <w:r>
        <w:t xml:space="preserve">sp., in terms of the costs of exploitation of different photic regimes.</w:t>
      </w:r>
    </w:p>
    <w:bookmarkEnd w:id="84"/>
    <w:bookmarkStart w:id="85" w:name="acknowledgements"/>
    <w:p>
      <w:pPr>
        <w:pStyle w:val="Heading1"/>
      </w:pPr>
      <w:r>
        <w:t xml:space="preserve">Acknowledgements</w:t>
      </w:r>
    </w:p>
    <w:p>
      <w:pPr>
        <w:pStyle w:val="FirstParagraph"/>
      </w:pPr>
      <w:r>
        <w:t xml:space="preserve">We would like to thank Carlie Barnhill (Mount Allison Student) who assisted with code for import of Multi-Cultivator growth data files.</w:t>
      </w:r>
    </w:p>
    <w:bookmarkEnd w:id="85"/>
    <w:bookmarkStart w:id="86" w:name="funding-sources"/>
    <w:p>
      <w:pPr>
        <w:pStyle w:val="Heading1"/>
      </w:pPr>
      <w:r>
        <w:t xml:space="preserve">Funding sources</w:t>
      </w:r>
    </w:p>
    <w:p>
      <w:pPr>
        <w:pStyle w:val="FirstParagraph"/>
      </w:pPr>
      <w:r>
        <w:t xml:space="preserve">Canada Research Chair in Phytoplankton Ecophysiology (DAC)</w:t>
      </w:r>
    </w:p>
    <w:p>
      <w:pPr>
        <w:pStyle w:val="BodyText"/>
      </w:pPr>
      <w:r>
        <w:t xml:space="preserve">Latitude &amp; Light; NSERC of Canada Discovery Grant (DAC)</w:t>
      </w:r>
    </w:p>
    <w:bookmarkEnd w:id="86"/>
    <w:bookmarkStart w:id="92" w:name="data-sources"/>
    <w:p>
      <w:pPr>
        <w:pStyle w:val="Heading1"/>
      </w:pPr>
      <w:r>
        <w:t xml:space="preserve">Data sources</w:t>
      </w:r>
    </w:p>
    <w:p>
      <w:pPr>
        <w:pStyle w:val="FirstParagraph"/>
      </w:pPr>
      <w:r>
        <w:t xml:space="preserve">Data sources chapter provide links to any data used from external providers:</w:t>
      </w:r>
    </w:p>
    <w:p>
      <w:pPr>
        <w:pStyle w:val="BodyText"/>
      </w:pPr>
      <w:r>
        <w:t xml:space="preserve">URL for MetaDataCatalog:</w:t>
      </w:r>
      <w:r>
        <w:t xml:space="preserve"> </w:t>
      </w:r>
      <w:hyperlink r:id="rId87">
        <w:r>
          <w:rPr>
            <w:rStyle w:val="Hyperlink"/>
          </w:rPr>
          <w:t xml:space="preserve">https://docs.google.com/spreadsheets/d/1ZXpwR7Gfto-uRzVdXzMpQF4frbrvMLH_IyLqonFZRSw/edit#gid=0</w:t>
        </w:r>
      </w:hyperlink>
    </w:p>
    <w:p>
      <w:pPr>
        <w:pStyle w:val="BodyText"/>
      </w:pPr>
      <w:r>
        <w:t xml:space="preserve">URL for tMaxAHG Catalog:</w:t>
      </w:r>
      <w:r>
        <w:t xml:space="preserve"> </w:t>
      </w:r>
      <w:hyperlink r:id="rId88">
        <w:r>
          <w:rPr>
            <w:rStyle w:val="Hyperlink"/>
          </w:rPr>
          <w:t xml:space="preserve">https://docs.google.com/spreadsheets/d/1ksY7xlg9wOsICOBRmZkHPKdd9KOislNwPDzyuJ3UIUI/edit#gid=0</w:t>
        </w:r>
      </w:hyperlink>
    </w:p>
    <w:p>
      <w:pPr>
        <w:pStyle w:val="BodyText"/>
      </w:pPr>
      <w:r>
        <w:t xml:space="preserve">URL for pigments Catalog (correlation):</w:t>
      </w:r>
      <w:r>
        <w:t xml:space="preserve"> </w:t>
      </w:r>
      <w:hyperlink r:id="rId89">
        <w:r>
          <w:rPr>
            <w:rStyle w:val="Hyperlink"/>
          </w:rPr>
          <w:t xml:space="preserve">https://docs.google.com/spreadsheets/d/1EvogE5pFlGT9H304E3dqXKwh26dWI9r_snSPhZCHWiU/edit#gid=0</w:t>
        </w:r>
      </w:hyperlink>
    </w:p>
    <w:p>
      <w:pPr>
        <w:pStyle w:val="BodyText"/>
      </w:pPr>
      <w:r>
        <w:t xml:space="preserve">URL for ClarioStar Growth Catalog (correlation):</w:t>
      </w:r>
      <w:r>
        <w:t xml:space="preserve"> </w:t>
      </w:r>
      <w:hyperlink r:id="rId90">
        <w:r>
          <w:rPr>
            <w:rStyle w:val="Hyperlink"/>
          </w:rPr>
          <w:t xml:space="preserve">https://docs.google.com/spreadsheets/d/1cfyxO1bFSeEMlMnx1vAyuskk3Un_bqkE9-uUSc-jwhE/edit#gid=0</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Research Question:</w:t>
            </w:r>
            <w:r>
              <w:t xml:space="preserve"> </w:t>
            </w:r>
            <w:r>
              <w:t xml:space="preserve">Does cumulative diel PAR and PUR consistently explain achieved growth rates across a matrix of photoperiods and peak PAR?</w:t>
            </w:r>
          </w:p>
        </w:tc>
      </w:tr>
      <w:tr>
        <w:tc>
          <w:tcPr/>
          <w:p>
            <w:pPr>
              <w:pStyle w:val="Compact"/>
              <w:jc w:val="left"/>
            </w:pPr>
            <w:r>
              <w:t xml:space="preserve">Research Question:</w:t>
            </w:r>
            <w:r>
              <w:t xml:space="preserve"> </w:t>
            </w:r>
            <w:r>
              <w:t xml:space="preserve">Do strains show consistent patterns of light capture efficacy (PUR/PAR ratio) across cumulative diel photon doses?</w:t>
            </w:r>
          </w:p>
        </w:tc>
      </w:tr>
      <w:tr>
        <w:tc>
          <w:tcPr/>
          <w:p>
            <w:pPr>
              <w:pStyle w:val="Compact"/>
              <w:jc w:val="left"/>
            </w:pPr>
            <w:r>
              <w:t xml:space="preserve">Yes.</w:t>
            </w:r>
            <w:r>
              <w:t xml:space="preserve"> </w:t>
            </w:r>
            <w:r>
              <w:t xml:space="preserve">The ratio of PUR/PAR shows a consistent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and even disappears.</w:t>
            </w:r>
            <w:r>
              <w:t xml:space="preserve"> </w:t>
            </w:r>
            <w:r>
              <w:t xml:space="preserve">The PE-rich strains show a much higher PUR/PAR ratio under low cumulative diel photon dose, but decay towards a plateau close to the PC-rich strains as cumulative diel photon dose increases.</w:t>
            </w:r>
          </w:p>
        </w:tc>
      </w:tr>
    </w:tbl>
    <w:p>
      <w:pPr>
        <w:pStyle w:val="BodyText"/>
      </w:pPr>
      <w:r>
        <w:t xml:space="preserve">Research Question:</w:t>
      </w:r>
      <w:r>
        <w:t xml:space="preserve"> </w:t>
      </w:r>
      <w:r>
        <w:t xml:space="preserve">Do strains show consistent patterns of effective absorption cross section for PSII photochemistry across cumulative diel photon doses?</w:t>
      </w:r>
    </w:p>
    <w:p>
      <w:pPr>
        <w:pStyle w:val="BodyText"/>
      </w:pPr>
      <w:r>
        <w:t xml:space="preserve">Yes.</w:t>
      </w:r>
      <w:r>
        <w:t xml:space="preserve"> </w:t>
      </w:r>
      <w:r>
        <w:t xml:space="preserve">The</w:t>
      </w:r>
      <w:r>
        <w:t xml:space="preserve"> </w:t>
      </w:r>
      <w:r>
        <w:t xml:space="preserve">3C3</w:t>
      </w:r>
      <w:r>
        <w:rPr>
          <w:vertAlign w:val="subscript"/>
        </w:rPr>
        <w:t xml:space="preserve">PSII</w:t>
      </w:r>
      <w:r>
        <w:t xml:space="preserve">’ shows a consistent, sharp exponential decay in relation to cumulative photon dose, across different combinations of photoperiod and peak PAR.</w:t>
      </w:r>
      <w:r>
        <w:t xml:space="preserve"> </w:t>
      </w:r>
      <w:r>
        <w:t xml:space="preserve">Although all strains shows this response pattern, the exponential decay model parameters differ significantly among strains.</w:t>
      </w:r>
      <w:r>
        <w:t xml:space="preserve"> </w:t>
      </w:r>
      <w:r>
        <w:t xml:space="preserve">During pre-stationary phase this response dampens but persists.</w:t>
      </w:r>
      <w:r>
        <w:t xml:space="preserve"> </w:t>
      </w:r>
      <w:r>
        <w:t xml:space="preserve">The PE-rich strains show a much higher</w:t>
      </w:r>
      <w:r>
        <w:t xml:space="preserve"> </w:t>
      </w:r>
      <w:r>
        <w:t xml:space="preserve">3C3</w:t>
      </w:r>
      <w:r>
        <w:rPr>
          <w:vertAlign w:val="subscript"/>
        </w:rPr>
        <w:t xml:space="preserve">PSII</w:t>
      </w:r>
      <w:r>
        <w:t xml:space="preserve">’ under low cumulative diel photon dose, and remain higher than the PC-rich strains even as cumulative diel photon dose increases.</w:t>
      </w:r>
      <w:r>
        <w:t xml:space="preserve"> </w:t>
      </w:r>
      <w:r>
        <w:t xml:space="preserve">——————————————————————————————————</w:t>
      </w:r>
    </w:p>
    <w:p>
      <w:pPr>
        <w:pStyle w:val="BodyText"/>
      </w:pPr>
      <w:r>
        <w:t xml:space="preserve">Research Question:</w:t>
      </w:r>
      <w:r>
        <w:t xml:space="preserve"> </w:t>
      </w:r>
      <w:r>
        <w:t xml:space="preserve">Does</w:t>
      </w:r>
      <w:r>
        <w:t xml:space="preserve"> </w:t>
      </w:r>
      <w:r>
        <w:t xml:space="preserve">3C3</w:t>
      </w:r>
      <w:r>
        <w:rPr>
          <w:vertAlign w:val="subscript"/>
        </w:rPr>
        <w:t xml:space="preserve">PSII</w:t>
      </w:r>
      <w:r>
        <w:t xml:space="preserve">’ show a consistent relation to phycobilisome:chlorophyll ratio?</w:t>
      </w:r>
      <w:r>
        <w:t xml:space="preserve"> </w:t>
      </w:r>
      <w:r>
        <w:t xml:space="preserve">The</w:t>
      </w:r>
      <w:r>
        <w:t xml:space="preserve"> </w:t>
      </w:r>
      <w:r>
        <w:t xml:space="preserve">3C3</w:t>
      </w:r>
      <w:r>
        <w:rPr>
          <w:vertAlign w:val="subscript"/>
        </w:rPr>
        <w:t xml:space="preserve">PSII</w:t>
      </w:r>
      <w:r>
        <w:t xml:space="preserve">’ excited through chlorophyll absorbance at 445 nm was consistently small across strains and growth conditions, since in cyanobacteria the number of chlorophyll serving PSII is nearly fixed (CITATIONS DOUG). For</w:t>
      </w:r>
      <w:r>
        <w:t xml:space="preserve"> </w:t>
      </w:r>
      <w:r>
        <w:t xml:space="preserve">3C3</w:t>
      </w:r>
      <w:r>
        <w:rPr>
          <w:vertAlign w:val="subscript"/>
        </w:rPr>
        <w:t xml:space="preserve">PSII</w:t>
      </w:r>
      <w:r>
        <w:t xml:space="preserve">’ excited through phycobilisome absorbance at 590 nm, strains show consistent positive correlation with phycobilin:chlorophyll ratio. Strains in exponential growth show significant scatter around this positive relation, likely related to regulatory control of</w:t>
      </w:r>
      <w:r>
        <w:t xml:space="preserve"> </w:t>
      </w:r>
      <w:r>
        <w:t xml:space="preserve">3C3</w:t>
      </w:r>
      <w:r>
        <w:rPr>
          <w:vertAlign w:val="subscript"/>
        </w:rPr>
        <w:t xml:space="preserve">PSII</w:t>
      </w:r>
      <w:r>
        <w:t xml:space="preserve">‘</w:t>
      </w:r>
      <w:r>
        <w:t xml:space="preserve">, beyond pigment composition. Under pre-stationary phase the plots of</w:t>
      </w:r>
      <w:r>
        <w:t xml:space="preserve"> </w:t>
      </w:r>
      <w:r>
        <w:t xml:space="preserve">3C3</w:t>
      </w:r>
      <w:r>
        <w:rPr>
          <w:vertAlign w:val="subscript"/>
        </w:rPr>
        <w:t xml:space="preserve">PSII</w:t>
      </w:r>
      <w:r>
        <w:t xml:space="preserve">’</w:t>
      </w:r>
      <w:r>
        <w:t xml:space="preserve"> </w:t>
      </w:r>
      <w:r>
        <w:t xml:space="preserve">vs. phycobilin:chlorophyll show much less scatter, suggesting an increase in reliance upon compositional regulation to control light delivery to PSII, as opposed to shorter term regulation.</w:t>
      </w:r>
    </w:p>
    <w:bookmarkStart w:id="91" w:name="Xd25aad00de3ab5b51f7b98d6e77e13a4c00f459"/>
    <w:p>
      <w:pPr>
        <w:pStyle w:val="Heading2"/>
      </w:pPr>
      <w:r>
        <w:rPr>
          <w:rStyle w:val="SectionNumber"/>
        </w:rPr>
        <w:t xml:space="preserve">0.1</w:t>
      </w:r>
      <w:r>
        <w:tab/>
      </w:r>
      <w:r>
        <w:t xml:space="preserve">The linear fits also vary significantly among strains.</w:t>
      </w:r>
    </w:p>
    <w:bookmarkEnd w:id="91"/>
    <w:bookmarkEnd w:id="92"/>
    <w:bookmarkStart w:id="194" w:name="references"/>
    <w:p>
      <w:pPr>
        <w:pStyle w:val="Heading1"/>
      </w:pPr>
      <w:r>
        <w:t xml:space="preserve">References</w:t>
      </w:r>
    </w:p>
    <w:bookmarkStart w:id="193" w:name="refs"/>
    <w:bookmarkStart w:id="94"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3">
        <w:r>
          <w:rPr>
            <w:rStyle w:val="Hyperlink"/>
          </w:rPr>
          <w:t xml:space="preserve">10.1111/1462-2920.16384</w:t>
        </w:r>
      </w:hyperlink>
    </w:p>
    <w:bookmarkEnd w:id="94"/>
    <w:bookmarkStart w:id="96"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5">
        <w:r>
          <w:rPr>
            <w:rStyle w:val="Hyperlink"/>
          </w:rPr>
          <w:t xml:space="preserve">10.1038/284481a0</w:t>
        </w:r>
      </w:hyperlink>
    </w:p>
    <w:bookmarkEnd w:id="96"/>
    <w:bookmarkStart w:id="98"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7">
        <w:r>
          <w:rPr>
            <w:rStyle w:val="Hyperlink"/>
          </w:rPr>
          <w:t xml:space="preserve">10.1146/annurev-marine-010213-135103</w:t>
        </w:r>
      </w:hyperlink>
    </w:p>
    <w:bookmarkEnd w:id="98"/>
    <w:bookmarkStart w:id="100" w:name="X78a690ddcffed75740a96a2fca4b8e9a29d3a28"/>
    <w:p>
      <w:pPr>
        <w:pStyle w:val="Bibliography"/>
      </w:pPr>
      <w:r>
        <w:t xml:space="preserve">Beale, S. I. 1994.</w:t>
      </w:r>
      <w:r>
        <w:t xml:space="preserve"> </w:t>
      </w:r>
      <w:hyperlink r:id="rId99">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100"/>
    <w:bookmarkStart w:id="102"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101">
        <w:r>
          <w:rPr>
            <w:rStyle w:val="Hyperlink"/>
          </w:rPr>
          <w:t xml:space="preserve">10.1038/nature05317</w:t>
        </w:r>
      </w:hyperlink>
    </w:p>
    <w:bookmarkEnd w:id="102"/>
    <w:bookmarkStart w:id="104"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3">
        <w:r>
          <w:rPr>
            <w:rStyle w:val="Hyperlink"/>
          </w:rPr>
          <w:t xml:space="preserve">10.1083/jcb.58.2.419</w:t>
        </w:r>
      </w:hyperlink>
    </w:p>
    <w:bookmarkEnd w:id="104"/>
    <w:bookmarkStart w:id="105"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5"/>
    <w:bookmarkStart w:id="107"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6">
        <w:r>
          <w:rPr>
            <w:rStyle w:val="Hyperlink"/>
          </w:rPr>
          <w:t xml:space="preserve">10.3389/fmars.2019.00319</w:t>
        </w:r>
      </w:hyperlink>
    </w:p>
    <w:bookmarkEnd w:id="107"/>
    <w:bookmarkStart w:id="108"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8"/>
    <w:bookmarkStart w:id="110" w:name="X30cea3580c16855f9d89aaa53f7c7533fb5925c"/>
    <w:p>
      <w:pPr>
        <w:pStyle w:val="Bibliography"/>
      </w:pPr>
      <w:r>
        <w:t xml:space="preserve">Chakdar, H., and S. Pabbi. 2016.</w:t>
      </w:r>
      <w:r>
        <w:t xml:space="preserve"> </w:t>
      </w:r>
      <w:hyperlink r:id="rId109">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0"/>
    <w:bookmarkStart w:id="112"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1">
        <w:r>
          <w:rPr>
            <w:rStyle w:val="Hyperlink"/>
          </w:rPr>
          <w:t xml:space="preserve">10.1111/nph.17903</w:t>
        </w:r>
      </w:hyperlink>
    </w:p>
    <w:bookmarkEnd w:id="112"/>
    <w:bookmarkStart w:id="114"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3">
        <w:r>
          <w:rPr>
            <w:rStyle w:val="Hyperlink"/>
          </w:rPr>
          <w:t xml:space="preserve">10.4319/lo.1999.44.1.0052</w:t>
        </w:r>
      </w:hyperlink>
    </w:p>
    <w:bookmarkEnd w:id="114"/>
    <w:bookmarkStart w:id="116" w:name="X21dee1dcdfece03937df9d374fd0f913ede34fd"/>
    <w:p>
      <w:pPr>
        <w:pStyle w:val="Bibliography"/>
      </w:pPr>
      <w:r>
        <w:t xml:space="preserve">Churilova, T. Ya., V. V. Suslin, N. A. Moiseeva, and T. V. Efimova. 2020. Phytoplankton</w:t>
      </w:r>
      <w:r>
        <w:t xml:space="preserve"> </w:t>
      </w:r>
      <w:r>
        <w:t xml:space="preserve">Bloom</w:t>
      </w:r>
      <w:r>
        <w:t xml:space="preserve"> </w:t>
      </w:r>
      <w:r>
        <w:t xml:space="preserve">and</w:t>
      </w:r>
      <w:r>
        <w:t xml:space="preserve"> </w:t>
      </w:r>
      <w:r>
        <w:t xml:space="preserve">Photosynthetically Active Radiation</w:t>
      </w:r>
      <w:r>
        <w:t xml:space="preserve"> </w:t>
      </w:r>
      <w:r>
        <w:t xml:space="preserve">in</w:t>
      </w:r>
      <w:r>
        <w:t xml:space="preserve"> </w:t>
      </w:r>
      <w:r>
        <w:t xml:space="preserve">Coastal Waters</w:t>
      </w:r>
      <w:r>
        <w:t xml:space="preserve">. Journal of Applied Spectroscopy</w:t>
      </w:r>
      <w:r>
        <w:t xml:space="preserve"> </w:t>
      </w:r>
      <w:r>
        <w:rPr>
          <w:bCs/>
          <w:b/>
        </w:rPr>
        <w:t xml:space="preserve">86</w:t>
      </w:r>
      <w:r>
        <w:t xml:space="preserve">: 1084–1091. doi:</w:t>
      </w:r>
      <w:hyperlink r:id="rId115">
        <w:r>
          <w:rPr>
            <w:rStyle w:val="Hyperlink"/>
          </w:rPr>
          <w:t xml:space="preserve">10.1007/s10812-020-00944-0</w:t>
        </w:r>
      </w:hyperlink>
    </w:p>
    <w:bookmarkEnd w:id="116"/>
    <w:bookmarkStart w:id="118"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7">
        <w:r>
          <w:rPr>
            <w:rStyle w:val="Hyperlink"/>
          </w:rPr>
          <w:t xml:space="preserve">10.1186/gb-2008-9-5-r90</w:t>
        </w:r>
      </w:hyperlink>
    </w:p>
    <w:bookmarkEnd w:id="118"/>
    <w:bookmarkStart w:id="119"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alkowskiGlobalCarbonCycle2000"/>
    <w:p>
      <w:pPr>
        <w:pStyle w:val="Bibliography"/>
      </w:pPr>
      <w:r>
        <w:t xml:space="preserve">Falkowski, P., R. J. Scholes, E. Boyle, and others. 2000. The</w:t>
      </w:r>
      <w:r>
        <w:t xml:space="preserve"> </w:t>
      </w:r>
      <w:r>
        <w:t xml:space="preserve">Global Carbon Cycle</w:t>
      </w:r>
      <w:r>
        <w:t xml:space="preserve">:</w:t>
      </w:r>
      <w:r>
        <w:t xml:space="preserve"> </w:t>
      </w:r>
      <w:r>
        <w:t xml:space="preserve">A Test</w:t>
      </w:r>
      <w:r>
        <w:t xml:space="preserve"> </w:t>
      </w:r>
      <w:r>
        <w:t xml:space="preserve">of</w:t>
      </w:r>
      <w:r>
        <w:t xml:space="preserve"> </w:t>
      </w:r>
      <w:r>
        <w:t xml:space="preserve">Our Knowledge</w:t>
      </w:r>
      <w:r>
        <w:t xml:space="preserve"> </w:t>
      </w:r>
      <w:r>
        <w:t xml:space="preserve">of</w:t>
      </w:r>
      <w:r>
        <w:t xml:space="preserve"> </w:t>
      </w:r>
      <w:r>
        <w:t xml:space="preserve">Earth</w:t>
      </w:r>
      <w:r>
        <w:t xml:space="preserve"> </w:t>
      </w:r>
      <w:r>
        <w:t xml:space="preserve">as a</w:t>
      </w:r>
      <w:r>
        <w:t xml:space="preserve"> </w:t>
      </w:r>
      <w:r>
        <w:t xml:space="preserve">System</w:t>
      </w:r>
      <w:r>
        <w:t xml:space="preserve">. Science</w:t>
      </w:r>
      <w:r>
        <w:t xml:space="preserve"> </w:t>
      </w:r>
      <w:r>
        <w:rPr>
          <w:bCs/>
          <w:b/>
        </w:rPr>
        <w:t xml:space="preserve">290</w:t>
      </w:r>
      <w:r>
        <w:t xml:space="preserve">: 291–296. doi:</w:t>
      </w:r>
      <w:hyperlink r:id="rId121">
        <w:r>
          <w:rPr>
            <w:rStyle w:val="Hyperlink"/>
          </w:rPr>
          <w:t xml:space="preserve">10.1126/science.290.5490.291</w:t>
        </w:r>
      </w:hyperlink>
    </w:p>
    <w:bookmarkEnd w:id="122"/>
    <w:bookmarkStart w:id="124"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3">
        <w:r>
          <w:rPr>
            <w:rStyle w:val="Hyperlink"/>
          </w:rPr>
          <w:t xml:space="preserve">10.1126/science.281.5374.237</w:t>
        </w:r>
      </w:hyperlink>
    </w:p>
    <w:bookmarkEnd w:id="124"/>
    <w:bookmarkStart w:id="126"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5">
        <w:r>
          <w:rPr>
            <w:rStyle w:val="Hyperlink"/>
          </w:rPr>
          <w:t xml:space="preserve">10.1017/S0025315406014287</w:t>
        </w:r>
      </w:hyperlink>
    </w:p>
    <w:bookmarkEnd w:id="126"/>
    <w:bookmarkStart w:id="128"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7">
        <w:r>
          <w:rPr>
            <w:rStyle w:val="Hyperlink"/>
          </w:rPr>
          <w:t xml:space="preserve">10.1073/pnas.1307701110</w:t>
        </w:r>
      </w:hyperlink>
    </w:p>
    <w:bookmarkEnd w:id="128"/>
    <w:bookmarkStart w:id="130" w:name="Xd7d6b0bcb60aabcb149933a8690177800745aff"/>
    <w:p>
      <w:pPr>
        <w:pStyle w:val="Bibliography"/>
      </w:pPr>
      <w:r>
        <w:t xml:space="preserve">Guillard, R. R. L. 1975.</w:t>
      </w:r>
      <w:r>
        <w:t xml:space="preserve"> </w:t>
      </w:r>
      <w:hyperlink r:id="rId129">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0"/>
    <w:bookmarkStart w:id="13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1"/>
    <w:bookmarkStart w:id="13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2"/>
    <w:bookmarkStart w:id="13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3">
        <w:r>
          <w:rPr>
            <w:rStyle w:val="Hyperlink"/>
          </w:rPr>
          <w:t xml:space="preserve">10.1038/ismej.2008.118</w:t>
        </w:r>
      </w:hyperlink>
    </w:p>
    <w:bookmarkEnd w:id="134"/>
    <w:bookmarkStart w:id="13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5">
        <w:r>
          <w:rPr>
            <w:rStyle w:val="Hyperlink"/>
          </w:rPr>
          <w:t xml:space="preserve">10.5194/bg-8-311-2011</w:t>
        </w:r>
      </w:hyperlink>
    </w:p>
    <w:bookmarkEnd w:id="136"/>
    <w:bookmarkStart w:id="138"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7">
        <w:r>
          <w:rPr>
            <w:rStyle w:val="Hyperlink"/>
          </w:rPr>
          <w:t xml:space="preserve">10.1038/s41559-020-01330-x</w:t>
        </w:r>
      </w:hyperlink>
    </w:p>
    <w:bookmarkEnd w:id="138"/>
    <w:bookmarkStart w:id="140"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39">
        <w:r>
          <w:rPr>
            <w:rStyle w:val="Hyperlink"/>
          </w:rPr>
          <w:t xml:space="preserve">10.1086/338511</w:t>
        </w:r>
      </w:hyperlink>
    </w:p>
    <w:bookmarkEnd w:id="140"/>
    <w:bookmarkStart w:id="142"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1">
        <w:r>
          <w:rPr>
            <w:rStyle w:val="Hyperlink"/>
          </w:rPr>
          <w:t xml:space="preserve">10.1038/nclimate3147</w:t>
        </w:r>
      </w:hyperlink>
    </w:p>
    <w:bookmarkEnd w:id="142"/>
    <w:bookmarkStart w:id="14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3">
        <w:r>
          <w:rPr>
            <w:rStyle w:val="Hyperlink"/>
          </w:rPr>
          <w:t xml:space="preserve">10.1016/j.jphotobiol.2005.10.002</w:t>
        </w:r>
      </w:hyperlink>
    </w:p>
    <w:bookmarkEnd w:id="144"/>
    <w:bookmarkStart w:id="145"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45"/>
    <w:bookmarkStart w:id="147"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46">
        <w:r>
          <w:rPr>
            <w:rStyle w:val="Hyperlink"/>
          </w:rPr>
          <w:t xml:space="preserve">10.1016/S0005-2728(98)00135-2</w:t>
        </w:r>
      </w:hyperlink>
    </w:p>
    <w:bookmarkEnd w:id="147"/>
    <w:bookmarkStart w:id="149" w:name="X0484b3dfebfaa14160c541e1fe2290095bae149"/>
    <w:p>
      <w:pPr>
        <w:pStyle w:val="Bibliography"/>
      </w:pPr>
      <w:r>
        <w:t xml:space="preserve">LaRoche, J., and B. M. Robicheau. 2022.</w:t>
      </w:r>
      <w:r>
        <w:t xml:space="preserve"> </w:t>
      </w:r>
      <w:hyperlink r:id="rId148">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49"/>
    <w:bookmarkStart w:id="151"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50">
        <w:r>
          <w:rPr>
            <w:rStyle w:val="Hyperlink"/>
          </w:rPr>
          <w:t xml:space="preserve">10.1093/plankt/fbv008</w:t>
        </w:r>
      </w:hyperlink>
    </w:p>
    <w:bookmarkEnd w:id="151"/>
    <w:bookmarkStart w:id="153" w:name="X1fa63fd480d0916fa60113cb089a7102c347762"/>
    <w:p>
      <w:pPr>
        <w:pStyle w:val="Bibliography"/>
      </w:pPr>
      <w:r>
        <w:t xml:space="preserve">Li, W. K. W. 1995.</w:t>
      </w:r>
      <w:r>
        <w:t xml:space="preserve"> </w:t>
      </w:r>
      <w:hyperlink r:id="rId152">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53"/>
    <w:bookmarkStart w:id="154"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54"/>
    <w:bookmarkStart w:id="156"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55">
        <w:r>
          <w:rPr>
            <w:rStyle w:val="Hyperlink"/>
          </w:rPr>
          <w:t xml:space="preserve">10.1016/0146-6291(78)90623-9</w:t>
        </w:r>
      </w:hyperlink>
    </w:p>
    <w:bookmarkEnd w:id="156"/>
    <w:bookmarkStart w:id="158"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57">
        <w:r>
          <w:rPr>
            <w:rStyle w:val="Hyperlink"/>
          </w:rPr>
          <w:t xml:space="preserve">10.1029/JC093iC09p10749</w:t>
        </w:r>
      </w:hyperlink>
    </w:p>
    <w:bookmarkEnd w:id="158"/>
    <w:bookmarkStart w:id="160" w:name="ref-ortmannLysogenyLyticViral2002"/>
    <w:p>
      <w:pPr>
        <w:pStyle w:val="Bibliography"/>
      </w:pPr>
      <w:r>
        <w:t xml:space="preserve">Ortmann, A. C., J. E. Lawrence, and C. A. Suttle. 2002.</w:t>
      </w:r>
      <w:r>
        <w:t xml:space="preserve"> </w:t>
      </w:r>
      <w:hyperlink r:id="rId159">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60"/>
    <w:bookmarkStart w:id="162"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61">
        <w:r>
          <w:rPr>
            <w:rStyle w:val="Hyperlink"/>
          </w:rPr>
          <w:t xml:space="preserve">10.1023/A:1005936823310</w:t>
        </w:r>
      </w:hyperlink>
    </w:p>
    <w:bookmarkEnd w:id="162"/>
    <w:bookmarkStart w:id="164"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63">
        <w:r>
          <w:rPr>
            <w:rStyle w:val="Hyperlink"/>
          </w:rPr>
          <w:t xml:space="preserve">10.4319/lom.2012.10.142</w:t>
        </w:r>
      </w:hyperlink>
    </w:p>
    <w:bookmarkEnd w:id="164"/>
    <w:bookmarkStart w:id="165"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65"/>
    <w:bookmarkStart w:id="166"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66"/>
    <w:bookmarkStart w:id="167" w:name="ref-serwayModernPhysics2004"/>
    <w:p>
      <w:pPr>
        <w:pStyle w:val="Bibliography"/>
      </w:pPr>
      <w:r>
        <w:t xml:space="preserve">Serway, R. A., C. J. Moses, and C. A. Moyer. 2004. Modern</w:t>
      </w:r>
      <w:r>
        <w:t xml:space="preserve"> </w:t>
      </w:r>
      <w:r>
        <w:t xml:space="preserve">Physics</w:t>
      </w:r>
      <w:r>
        <w:t xml:space="preserve">, Cengage Learning.</w:t>
      </w:r>
    </w:p>
    <w:bookmarkEnd w:id="167"/>
    <w:bookmarkStart w:id="169"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168">
        <w:r>
          <w:rPr>
            <w:rStyle w:val="Hyperlink"/>
          </w:rPr>
          <w:t xml:space="preserve">10.1371/journal.pone.0001341</w:t>
        </w:r>
      </w:hyperlink>
    </w:p>
    <w:bookmarkEnd w:id="169"/>
    <w:bookmarkStart w:id="171"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170">
        <w:r>
          <w:rPr>
            <w:rStyle w:val="Hyperlink"/>
          </w:rPr>
          <w:t xml:space="preserve">10.1073/pnas.2111300118</w:t>
        </w:r>
      </w:hyperlink>
    </w:p>
    <w:bookmarkEnd w:id="171"/>
    <w:bookmarkStart w:id="173" w:name="Xb08e6c3e9b838f57efffe54573ae3f42a71b21a"/>
    <w:p>
      <w:pPr>
        <w:pStyle w:val="Bibliography"/>
      </w:pPr>
      <w:r>
        <w:t xml:space="preserve">Śliwińska-Wilczewska, S., A. Cieszyńska, J. Maculewicz, and A. Latała. 2018.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172">
        <w:r>
          <w:rPr>
            <w:rStyle w:val="Hyperlink"/>
          </w:rPr>
          <w:t xml:space="preserve">10.5194/bg-15-6257-2018</w:t>
        </w:r>
      </w:hyperlink>
    </w:p>
    <w:bookmarkEnd w:id="173"/>
    <w:bookmarkStart w:id="175"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174">
        <w:r>
          <w:rPr>
            <w:rStyle w:val="Hyperlink"/>
          </w:rPr>
          <w:t xml:space="preserve">10.3390/cells9092030</w:t>
        </w:r>
      </w:hyperlink>
    </w:p>
    <w:bookmarkEnd w:id="175"/>
    <w:bookmarkStart w:id="177"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176">
        <w:r>
          <w:rPr>
            <w:rStyle w:val="Hyperlink"/>
          </w:rPr>
          <w:t xml:space="preserve">10.1134/S0026261715020150</w:t>
        </w:r>
      </w:hyperlink>
    </w:p>
    <w:bookmarkEnd w:id="177"/>
    <w:bookmarkStart w:id="179"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178">
        <w:r>
          <w:rPr>
            <w:rStyle w:val="Hyperlink"/>
          </w:rPr>
          <w:t xml:space="preserve">DOI: http://dx.doi.org/10.25607/OBP-1791</w:t>
        </w:r>
      </w:hyperlink>
    </w:p>
    <w:bookmarkEnd w:id="179"/>
    <w:bookmarkStart w:id="180"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180"/>
    <w:bookmarkStart w:id="182"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181">
        <w:r>
          <w:rPr>
            <w:rStyle w:val="Hyperlink"/>
          </w:rPr>
          <w:t xml:space="preserve">10.1111/j.1365-2427.2008.02119.x</w:t>
        </w:r>
      </w:hyperlink>
    </w:p>
    <w:bookmarkEnd w:id="182"/>
    <w:bookmarkStart w:id="184" w:name="ref-tortellUserGuideApplication2021"/>
    <w:p>
      <w:pPr>
        <w:pStyle w:val="Bibliography"/>
      </w:pPr>
      <w:r>
        <w:t xml:space="preserve">Tortell, P., D. J. Suggett, and S. W. Group156. 2021.</w:t>
      </w:r>
      <w:r>
        <w:t xml:space="preserve"> </w:t>
      </w:r>
      <w:hyperlink r:id="rId183">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184"/>
    <w:bookmarkStart w:id="186"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185">
        <w:r>
          <w:rPr>
            <w:rStyle w:val="Hyperlink"/>
          </w:rPr>
          <w:t xml:space="preserve">10.1029/1999JC000308</w:t>
        </w:r>
      </w:hyperlink>
    </w:p>
    <w:bookmarkEnd w:id="186"/>
    <w:bookmarkStart w:id="188" w:name="ref-wickhamDataAnalysis2016"/>
    <w:p>
      <w:pPr>
        <w:pStyle w:val="Bibliography"/>
      </w:pPr>
      <w:r>
        <w:t xml:space="preserve">Wickham, H. 2016.</w:t>
      </w:r>
      <w:r>
        <w:t xml:space="preserve"> </w:t>
      </w:r>
      <w:hyperlink r:id="rId187">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188"/>
    <w:bookmarkStart w:id="190"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189">
        <w:r>
          <w:rPr>
            <w:rStyle w:val="Hyperlink"/>
          </w:rPr>
          <w:t xml:space="preserve">10.1016/j.rse.2020.111704</w:t>
        </w:r>
      </w:hyperlink>
    </w:p>
    <w:bookmarkEnd w:id="190"/>
    <w:bookmarkStart w:id="192"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191">
        <w:r>
          <w:rPr>
            <w:rStyle w:val="Hyperlink"/>
          </w:rPr>
          <w:t xml:space="preserve">10.1016/j.bbabio.2017.03.003</w:t>
        </w:r>
      </w:hyperlink>
    </w:p>
    <w:bookmarkEnd w:id="192"/>
    <w:bookmarkEnd w:id="193"/>
    <w:bookmarkEnd w:id="194"/>
    <w:sectPr w:rsidR="00551341" w:rsidSect="00BA699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F37F8"/>
    <w:pPr>
      <w:keepNext/>
      <w:keepLines/>
      <w:spacing w:after="0" w:before="480" w:line="360" w:lineRule="auto"/>
      <w:jc w:val="both"/>
      <w:outlineLvl w:val="0"/>
    </w:pPr>
    <w:rPr>
      <w:rFonts w:ascii="Times New Roman" w:cstheme="majorBidi" w:eastAsiaTheme="majorEastAsia" w:hAnsi="Times New Roman"/>
      <w:bCs/>
      <w:sz w:val="32"/>
      <w:szCs w:val="32"/>
    </w:rPr>
  </w:style>
  <w:style w:styleId="Heading2" w:type="paragraph">
    <w:name w:val="heading 2"/>
    <w:basedOn w:val="Normal"/>
    <w:next w:val="BodyText"/>
    <w:uiPriority w:val="9"/>
    <w:unhideWhenUsed/>
    <w:qFormat/>
    <w:rsid w:val="006C22D7"/>
    <w:pPr>
      <w:keepNext/>
      <w:keepLines/>
      <w:spacing w:before="200" w:line="360" w:lineRule="auto"/>
      <w:jc w:val="both"/>
      <w:outlineLvl w:val="1"/>
    </w:pPr>
    <w:rPr>
      <w:rFonts w:ascii="Times New Roman" w:cstheme="majorBidi" w:eastAsiaTheme="majorEastAsia" w:hAnsi="Times New Roman"/>
      <w:bCs/>
      <w:i/>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62924"/>
    <w:pPr>
      <w:spacing w:after="0" w:line="360" w:lineRule="auto"/>
      <w:ind w:firstLine="567"/>
      <w:jc w:val="both"/>
    </w:pPr>
    <w:rPr>
      <w:rFonts w:ascii="Times New Roman" w:hAnsi="Times New Roman"/>
    </w:rPr>
  </w:style>
  <w:style w:customStyle="1" w:styleId="FirstParagraph" w:type="paragraph">
    <w:name w:val="First Paragraph"/>
    <w:basedOn w:val="BodyText"/>
    <w:next w:val="BodyText"/>
    <w:qFormat/>
    <w:rsid w:val="00C62924"/>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1F37F8"/>
    <w:pPr>
      <w:keepNext/>
      <w:keepLines/>
      <w:spacing w:after="240" w:before="480" w:line="360" w:lineRule="auto"/>
      <w:jc w:val="both"/>
    </w:pPr>
    <w:rPr>
      <w:rFonts w:ascii="Times New Roman" w:cstheme="majorBidi" w:eastAsiaTheme="majorEastAsia" w:hAnsi="Times New Roman"/>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8B5961"/>
    <w:pPr>
      <w:keepNext/>
      <w:keepLines/>
      <w:spacing w:line="360" w:lineRule="auto"/>
      <w:jc w:val="both"/>
    </w:pPr>
    <w:rPr>
      <w:rFonts w:ascii="Times New Roman" w:hAnsi="Times New Roman"/>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C22D7"/>
    <w:pPr>
      <w:spacing w:line="360" w:lineRule="auto"/>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F37F8"/>
    <w:pPr>
      <w:spacing w:line="360" w:lineRule="auto"/>
      <w:jc w:val="both"/>
    </w:pPr>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5" Target="https://doi.org/10.1007/s10812-020-00944-0" TargetMode="External" /><Relationship Type="http://schemas.openxmlformats.org/officeDocument/2006/relationships/hyperlink" Id="rId155"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61"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7"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41" Target="https://doi.org/10.1038/nclimate3147" TargetMode="External" /><Relationship Type="http://schemas.openxmlformats.org/officeDocument/2006/relationships/hyperlink" Id="rId137" Target="https://doi.org/10.1038/s41559-020-01330-x" TargetMode="External" /><Relationship Type="http://schemas.openxmlformats.org/officeDocument/2006/relationships/hyperlink" Id="rId127"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9"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23" Target="https://doi.org/10.1126/science.281.5374.237" TargetMode="External" /><Relationship Type="http://schemas.openxmlformats.org/officeDocument/2006/relationships/hyperlink" Id="rId121"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7"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06" Target="https://doi.org/10.3389/fmars.2019.00319" TargetMode="External" /><Relationship Type="http://schemas.openxmlformats.org/officeDocument/2006/relationships/hyperlink" Id="rId174"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63" Target="https://doi.org/10.4319/lom.2012.10.142" TargetMode="External" /><Relationship Type="http://schemas.openxmlformats.org/officeDocument/2006/relationships/hyperlink" Id="rId172"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9" Target="https://www.jstor.org/stable/4287591"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178"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9" Target="https://docs.google.com/spreadsheets/d/1EvogE5pFlGT9H304E3dqXKwh26dWI9r_snSPhZCHWiU/edit#gid=0" TargetMode="External" /><Relationship Type="http://schemas.openxmlformats.org/officeDocument/2006/relationships/hyperlink" Id="rId87" Target="https://docs.google.com/spreadsheets/d/1ZXpwR7Gfto-uRzVdXzMpQF4frbrvMLH_IyLqonFZRSw/edit#gid=0" TargetMode="External" /><Relationship Type="http://schemas.openxmlformats.org/officeDocument/2006/relationships/hyperlink" Id="rId90" Target="https://docs.google.com/spreadsheets/d/1cfyxO1bFSeEMlMnx1vAyuskk3Un_bqkE9-uUSc-jwhE/edit#gid=0" TargetMode="External" /><Relationship Type="http://schemas.openxmlformats.org/officeDocument/2006/relationships/hyperlink" Id="rId88" Target="https://docs.google.com/spreadsheets/d/1ksY7xlg9wOsICOBRmZkHPKdd9KOislNwPDzyuJ3UIUI/edit#gid=0" TargetMode="External" /><Relationship Type="http://schemas.openxmlformats.org/officeDocument/2006/relationships/hyperlink" Id="rId129" Target="https://doi.org/10.1007/978-1-4615-8714-9_3" TargetMode="External" /><Relationship Type="http://schemas.openxmlformats.org/officeDocument/2006/relationships/hyperlink" Id="rId148" Target="https://doi.org/10.1007/978-3-030-90383-1_9" TargetMode="External" /><Relationship Type="http://schemas.openxmlformats.org/officeDocument/2006/relationships/hyperlink" Id="rId187" Target="https://doi.org/10.1007/978-3-319-24277-4_9" TargetMode="External" /><Relationship Type="http://schemas.openxmlformats.org/officeDocument/2006/relationships/hyperlink" Id="rId109" Target="https://doi.org/10.1007/978-81-322-2610-9_4" TargetMode="External" /><Relationship Type="http://schemas.openxmlformats.org/officeDocument/2006/relationships/hyperlink" Id="rId99" Target="https://doi.org/10.1007/978-94-011-0227-8_17" TargetMode="External" /><Relationship Type="http://schemas.openxmlformats.org/officeDocument/2006/relationships/hyperlink" Id="rId115" Target="https://doi.org/10.1007/s10812-020-00944-0" TargetMode="External" /><Relationship Type="http://schemas.openxmlformats.org/officeDocument/2006/relationships/hyperlink" Id="rId155" Target="https://doi.org/10.1016/0146-6291(78)90623-9" TargetMode="External" /><Relationship Type="http://schemas.openxmlformats.org/officeDocument/2006/relationships/hyperlink" Id="rId146" Target="https://doi.org/10.1016/S0005-2728(98)00135-2" TargetMode="External" /><Relationship Type="http://schemas.openxmlformats.org/officeDocument/2006/relationships/hyperlink" Id="rId191" Target="https://doi.org/10.1016/j.bbabio.2017.03.003" TargetMode="External" /><Relationship Type="http://schemas.openxmlformats.org/officeDocument/2006/relationships/hyperlink" Id="rId143" Target="https://doi.org/10.1016/j.jphotobiol.2005.10.002" TargetMode="External" /><Relationship Type="http://schemas.openxmlformats.org/officeDocument/2006/relationships/hyperlink" Id="rId189" Target="https://doi.org/10.1016/j.rse.2020.111704" TargetMode="External" /><Relationship Type="http://schemas.openxmlformats.org/officeDocument/2006/relationships/hyperlink" Id="rId125" Target="https://doi.org/10.1017/S0025315406014287" TargetMode="External" /><Relationship Type="http://schemas.openxmlformats.org/officeDocument/2006/relationships/hyperlink" Id="rId161" Target="https://doi.org/10.1023/A:1005936823310" TargetMode="External" /><Relationship Type="http://schemas.openxmlformats.org/officeDocument/2006/relationships/hyperlink" Id="rId185" Target="https://doi.org/10.1029/1999JC000308" TargetMode="External" /><Relationship Type="http://schemas.openxmlformats.org/officeDocument/2006/relationships/hyperlink" Id="rId157" Target="https://doi.org/10.1029/JC093iC09p10749" TargetMode="External" /><Relationship Type="http://schemas.openxmlformats.org/officeDocument/2006/relationships/hyperlink" Id="rId95"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101" Target="https://doi.org/10.1038/nature05317" TargetMode="External" /><Relationship Type="http://schemas.openxmlformats.org/officeDocument/2006/relationships/hyperlink" Id="rId141" Target="https://doi.org/10.1038/nclimate3147" TargetMode="External" /><Relationship Type="http://schemas.openxmlformats.org/officeDocument/2006/relationships/hyperlink" Id="rId137" Target="https://doi.org/10.1038/s41559-020-01330-x" TargetMode="External" /><Relationship Type="http://schemas.openxmlformats.org/officeDocument/2006/relationships/hyperlink" Id="rId127" Target="https://doi.org/10.1073/pnas.1307701110" TargetMode="External" /><Relationship Type="http://schemas.openxmlformats.org/officeDocument/2006/relationships/hyperlink" Id="rId170" Target="https://doi.org/10.1073/pnas.2111300118" TargetMode="External" /><Relationship Type="http://schemas.openxmlformats.org/officeDocument/2006/relationships/hyperlink" Id="rId103" Target="https://doi.org/10.1083/jcb.58.2.419" TargetMode="External" /><Relationship Type="http://schemas.openxmlformats.org/officeDocument/2006/relationships/hyperlink" Id="rId139" Target="https://doi.org/10.1086/338511" TargetMode="External" /><Relationship Type="http://schemas.openxmlformats.org/officeDocument/2006/relationships/hyperlink" Id="rId150" Target="https://doi.org/10.1093/plankt/fbv008" TargetMode="External" /><Relationship Type="http://schemas.openxmlformats.org/officeDocument/2006/relationships/hyperlink" Id="rId93" Target="https://doi.org/10.1111/1462-2920.16384" TargetMode="External" /><Relationship Type="http://schemas.openxmlformats.org/officeDocument/2006/relationships/hyperlink" Id="rId181" Target="https://doi.org/10.1111/j.1365-2427.2008.02119.x" TargetMode="External" /><Relationship Type="http://schemas.openxmlformats.org/officeDocument/2006/relationships/hyperlink" Id="rId111" Target="https://doi.org/10.1111/nph.17903" TargetMode="External" /><Relationship Type="http://schemas.openxmlformats.org/officeDocument/2006/relationships/hyperlink" Id="rId123" Target="https://doi.org/10.1126/science.281.5374.237" TargetMode="External" /><Relationship Type="http://schemas.openxmlformats.org/officeDocument/2006/relationships/hyperlink" Id="rId121" Target="https://doi.org/10.1126/science.290.5490.291" TargetMode="External" /><Relationship Type="http://schemas.openxmlformats.org/officeDocument/2006/relationships/hyperlink" Id="rId176" Target="https://doi.org/10.1134/S0026261715020150" TargetMode="External" /><Relationship Type="http://schemas.openxmlformats.org/officeDocument/2006/relationships/hyperlink" Id="rId97" Target="https://doi.org/10.1146/annurev-marine-010213-135103" TargetMode="External" /><Relationship Type="http://schemas.openxmlformats.org/officeDocument/2006/relationships/hyperlink" Id="rId117" Target="https://doi.org/10.1186/gb-2008-9-5-r90" TargetMode="External" /><Relationship Type="http://schemas.openxmlformats.org/officeDocument/2006/relationships/hyperlink" Id="rId168" Target="https://doi.org/10.1371/journal.pone.0001341" TargetMode="External" /><Relationship Type="http://schemas.openxmlformats.org/officeDocument/2006/relationships/hyperlink" Id="rId183" Target="https://doi.org/10.25607/OBP-1084" TargetMode="External" /><Relationship Type="http://schemas.openxmlformats.org/officeDocument/2006/relationships/hyperlink" Id="rId106" Target="https://doi.org/10.3389/fmars.2019.00319" TargetMode="External" /><Relationship Type="http://schemas.openxmlformats.org/officeDocument/2006/relationships/hyperlink" Id="rId174" Target="https://doi.org/10.3390/cells9092030" TargetMode="External" /><Relationship Type="http://schemas.openxmlformats.org/officeDocument/2006/relationships/hyperlink" Id="rId113" Target="https://doi.org/10.4319/lo.1999.44.1.0052" TargetMode="External" /><Relationship Type="http://schemas.openxmlformats.org/officeDocument/2006/relationships/hyperlink" Id="rId163" Target="https://doi.org/10.4319/lom.2012.10.142" TargetMode="External" /><Relationship Type="http://schemas.openxmlformats.org/officeDocument/2006/relationships/hyperlink" Id="rId172"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152" Target="https://www.jstor.org/stable/24852252" TargetMode="External" /><Relationship Type="http://schemas.openxmlformats.org/officeDocument/2006/relationships/hyperlink" Id="rId159" Target="https://www.jstor.org/stable/4287591"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7360</Words>
  <Characters>41957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dc:title>
  <dc:creator>Sylwia Śliwińska-Wilczewska1,2, Marta Konik3,4, Mireille Savoie1, Naaman Omar1, and Douglas A. Campbell1,✉</dc:creator>
  <cp:keywords/>
  <dcterms:created xsi:type="dcterms:W3CDTF">2024-03-21T22:08:32Z</dcterms:created>
  <dcterms:modified xsi:type="dcterms:W3CDTF">2024-03-21T22:08:32Z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